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5B56D3" w:rsidP="00FE5799">
      <w:pPr>
        <w:pStyle w:val="Header"/>
        <w:tabs>
          <w:tab w:val="clear" w:pos="4536"/>
        </w:tabs>
        <w:rPr>
          <w:i/>
        </w:rPr>
      </w:pPr>
      <w:bookmarkStart w:id="0" w:name="_GoBack"/>
      <w:bookmarkEnd w:id="0"/>
      <w:r w:rsidRPr="00697FBD">
        <w:rPr>
          <w:lang w:val="de-DE"/>
        </w:rPr>
        <w:t>3GPP TSG RAN WG1 Meeting #85</w:t>
      </w:r>
      <w:r w:rsidR="00FE5799" w:rsidRPr="00446F9D">
        <w:tab/>
        <w:t>R1-</w:t>
      </w:r>
      <w:r w:rsidR="008049B1" w:rsidRPr="008049B1">
        <w:t xml:space="preserve"> 16</w:t>
      </w:r>
      <w:r w:rsidR="000270DF">
        <w:t>4356</w:t>
      </w:r>
    </w:p>
    <w:p w:rsidR="00FE5799" w:rsidRPr="000833FA" w:rsidRDefault="00D472A5" w:rsidP="00FE5799">
      <w:pPr>
        <w:pStyle w:val="Header"/>
        <w:rPr>
          <w:color w:val="000000"/>
        </w:rPr>
      </w:pPr>
      <w:r w:rsidRPr="00697FBD">
        <w:t>Nanjing, China</w:t>
      </w:r>
      <w:r w:rsidR="00221EEE">
        <w:t>,</w:t>
      </w:r>
      <w:r w:rsidRPr="00697FBD">
        <w:t xml:space="preserve"> 23rd - 27th May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3D15C1">
        <w:t>Performance Evaluation of TBCC and Polar Codes</w:t>
      </w:r>
    </w:p>
    <w:p w:rsidR="00FE5799" w:rsidRPr="0003368D" w:rsidRDefault="00FE5799" w:rsidP="00FE5799">
      <w:pPr>
        <w:pStyle w:val="Header"/>
        <w:tabs>
          <w:tab w:val="left" w:pos="1800"/>
        </w:tabs>
      </w:pPr>
      <w:r w:rsidRPr="0003368D">
        <w:t>Agenda Item:</w:t>
      </w:r>
      <w:bookmarkStart w:id="2" w:name="Source"/>
      <w:bookmarkEnd w:id="2"/>
      <w:r w:rsidRPr="0003368D">
        <w:tab/>
      </w:r>
      <w:r w:rsidR="003D15C1">
        <w:t>7.1.5.1</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D64311" w:rsidP="00FE5799">
      <w:pPr>
        <w:pStyle w:val="Heading1"/>
      </w:pPr>
      <w:r>
        <w:t>Introduction</w:t>
      </w:r>
    </w:p>
    <w:p w:rsidR="00147CB1" w:rsidRDefault="00147CB1" w:rsidP="00A73DBF">
      <w:pPr>
        <w:pStyle w:val="BodyText"/>
        <w:tabs>
          <w:tab w:val="right" w:pos="9072"/>
        </w:tabs>
        <w:ind w:right="567"/>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xml:space="preserve">, of which channel coding schemes is listed as an area to investigate. In RAN1#84bis, the following simulation assumptions are agreed for the applications of URLLC and </w:t>
      </w:r>
      <w:proofErr w:type="spellStart"/>
      <w:r>
        <w:t>mMTC</w:t>
      </w:r>
      <w:proofErr w:type="spellEnd"/>
      <w:r>
        <w:t>:</w:t>
      </w:r>
    </w:p>
    <w:p w:rsidR="00147CB1" w:rsidRPr="007720A8" w:rsidRDefault="00147CB1" w:rsidP="00A73DBF">
      <w:pPr>
        <w:ind w:left="567"/>
        <w:rPr>
          <w:rFonts w:eastAsia="MS Mincho"/>
          <w:lang w:eastAsia="ja-JP"/>
        </w:rPr>
      </w:pPr>
      <w:r>
        <w:rPr>
          <w:rFonts w:eastAsia="MS Mincho"/>
          <w:lang w:eastAsia="ja-JP"/>
        </w:rPr>
        <w:t xml:space="preserve">Simulation </w:t>
      </w:r>
      <w:proofErr w:type="gramStart"/>
      <w:r>
        <w:rPr>
          <w:rFonts w:eastAsia="MS Mincho"/>
          <w:lang w:eastAsia="ja-JP"/>
        </w:rPr>
        <w:t>a</w:t>
      </w:r>
      <w:r w:rsidRPr="007720A8">
        <w:rPr>
          <w:rFonts w:eastAsia="MS Mincho"/>
          <w:lang w:eastAsia="ja-JP"/>
        </w:rPr>
        <w:t>ssumptions :</w:t>
      </w:r>
      <w:proofErr w:type="gramEnd"/>
      <w:r w:rsidRPr="007720A8">
        <w:rPr>
          <w:rFonts w:eastAsia="MS Mincho"/>
          <w:lang w:eastAsia="ja-JP"/>
        </w:rPr>
        <w:t xml:space="preserve"> URLLC and </w:t>
      </w:r>
      <w:proofErr w:type="spellStart"/>
      <w:r w:rsidRPr="007720A8">
        <w:rPr>
          <w:rFonts w:eastAsia="MS Mincho"/>
          <w:lang w:eastAsia="ja-JP"/>
        </w:rPr>
        <w:t>mMTC</w:t>
      </w:r>
      <w:proofErr w:type="spellEnd"/>
    </w:p>
    <w:p w:rsidR="00147CB1" w:rsidRPr="00372E3E" w:rsidRDefault="00147CB1" w:rsidP="00A73DBF">
      <w:pPr>
        <w:numPr>
          <w:ilvl w:val="0"/>
          <w:numId w:val="26"/>
        </w:numPr>
        <w:tabs>
          <w:tab w:val="clear" w:pos="720"/>
          <w:tab w:val="num" w:pos="1287"/>
        </w:tabs>
        <w:ind w:left="1287"/>
        <w:rPr>
          <w:rFonts w:eastAsia="MS Mincho"/>
          <w:lang w:eastAsia="ja-JP"/>
        </w:rPr>
      </w:pPr>
      <w:r w:rsidRPr="00372E3E">
        <w:rPr>
          <w:rFonts w:eastAsia="MS Mincho"/>
          <w:lang w:eastAsia="ja-JP"/>
        </w:rPr>
        <w:t>Evaluate BLER performance versus SNR</w:t>
      </w:r>
    </w:p>
    <w:tbl>
      <w:tblPr>
        <w:tblW w:w="6540" w:type="dxa"/>
        <w:jc w:val="center"/>
        <w:tblCellMar>
          <w:left w:w="0" w:type="dxa"/>
          <w:right w:w="0" w:type="dxa"/>
        </w:tblCellMar>
        <w:tblLook w:val="04A0" w:firstRow="1" w:lastRow="0" w:firstColumn="1" w:lastColumn="0" w:noHBand="0" w:noVBand="1"/>
      </w:tblPr>
      <w:tblGrid>
        <w:gridCol w:w="1591"/>
        <w:gridCol w:w="1361"/>
        <w:gridCol w:w="1129"/>
        <w:gridCol w:w="1226"/>
        <w:gridCol w:w="1233"/>
      </w:tblGrid>
      <w:tr w:rsidR="00147CB1" w:rsidRPr="00372E3E" w:rsidTr="00A73DBF">
        <w:trPr>
          <w:trHeight w:val="260"/>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line="260" w:lineRule="atLeast"/>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Channel*</w:t>
            </w:r>
          </w:p>
        </w:tc>
        <w:tc>
          <w:tcPr>
            <w:tcW w:w="494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line="260" w:lineRule="atLeast"/>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AWGN</w:t>
            </w:r>
          </w:p>
        </w:tc>
      </w:tr>
      <w:tr w:rsidR="00147CB1" w:rsidRPr="00372E3E" w:rsidTr="00A73DBF">
        <w:trPr>
          <w:trHeight w:val="279"/>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line="279" w:lineRule="atLeast"/>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 xml:space="preserve">Modulation </w:t>
            </w:r>
          </w:p>
        </w:tc>
        <w:tc>
          <w:tcPr>
            <w:tcW w:w="494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line="279" w:lineRule="atLeast"/>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QPSK, 16 QAM</w:t>
            </w:r>
          </w:p>
        </w:tc>
      </w:tr>
      <w:tr w:rsidR="00147CB1" w:rsidRPr="00372E3E" w:rsidTr="00A73DBF">
        <w:trPr>
          <w:trHeight w:val="415"/>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Coding Scheme</w:t>
            </w:r>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Convolutional codes</w:t>
            </w:r>
          </w:p>
        </w:tc>
        <w:tc>
          <w:tcPr>
            <w:tcW w:w="1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LDPC</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Polar</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val="fi-FI" w:eastAsia="ko-KR"/>
              </w:rPr>
              <w:t>Turbo</w:t>
            </w:r>
          </w:p>
        </w:tc>
      </w:tr>
      <w:tr w:rsidR="00147CB1" w:rsidRPr="00372E3E" w:rsidTr="00A73DBF">
        <w:trPr>
          <w:trHeight w:val="273"/>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line="273" w:lineRule="atLeast"/>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 xml:space="preserve">Code rate </w:t>
            </w:r>
          </w:p>
        </w:tc>
        <w:tc>
          <w:tcPr>
            <w:tcW w:w="494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line="273" w:lineRule="atLeast"/>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 xml:space="preserve"> 1/12, 1/6, 1/3</w:t>
            </w:r>
          </w:p>
        </w:tc>
      </w:tr>
      <w:tr w:rsidR="00147CB1" w:rsidRPr="00372E3E" w:rsidTr="00A73DBF">
        <w:trPr>
          <w:trHeight w:val="415"/>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Decoding algorithm**</w:t>
            </w:r>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List-X Viterbi</w:t>
            </w:r>
          </w:p>
        </w:tc>
        <w:tc>
          <w:tcPr>
            <w:tcW w:w="1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min-sum</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val="fi-FI" w:eastAsia="ko-KR"/>
              </w:rPr>
              <w:t xml:space="preserve">List-Y </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val="fi-FI" w:eastAsia="ko-KR"/>
              </w:rPr>
              <w:t>Max-log-MAP</w:t>
            </w:r>
          </w:p>
        </w:tc>
      </w:tr>
      <w:tr w:rsidR="00147CB1" w:rsidRPr="00372E3E" w:rsidTr="00A73DBF">
        <w:trPr>
          <w:trHeight w:val="415"/>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Info. block length*** (bits w/o CRC)</w:t>
            </w:r>
          </w:p>
        </w:tc>
        <w:tc>
          <w:tcPr>
            <w:tcW w:w="494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7CB1" w:rsidRPr="00372E3E" w:rsidRDefault="00147CB1" w:rsidP="007223E0">
            <w:pPr>
              <w:overflowPunct w:val="0"/>
              <w:spacing w:after="180"/>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20, 40, 200, 600, 1000</w:t>
            </w:r>
          </w:p>
        </w:tc>
      </w:tr>
    </w:tbl>
    <w:p w:rsidR="00147CB1" w:rsidRDefault="00147CB1" w:rsidP="00241161">
      <w:pPr>
        <w:pStyle w:val="BodyText"/>
      </w:pPr>
    </w:p>
    <w:p w:rsidR="00147CB1" w:rsidRDefault="00147CB1" w:rsidP="00241161">
      <w:pPr>
        <w:pStyle w:val="BodyText"/>
      </w:pPr>
      <w:r>
        <w:t>In this contribution, performance comparison between convolutional codes and Polar codes is provided for short information block size listed above. Comparative analysis on complexity, flexibility, robustness of TBCC</w:t>
      </w:r>
      <w:r w:rsidR="00697BE6">
        <w:t>,</w:t>
      </w:r>
      <w:r>
        <w:t xml:space="preserve"> Polar Codes</w:t>
      </w:r>
      <w:r w:rsidR="00697BE6">
        <w:t xml:space="preserve"> and other code candidates</w:t>
      </w:r>
      <w:r>
        <w:t xml:space="preserve"> is presented in [2].</w:t>
      </w:r>
    </w:p>
    <w:p w:rsidR="00241161" w:rsidRDefault="00147CB1" w:rsidP="00241161">
      <w:pPr>
        <w:pStyle w:val="BodyText"/>
      </w:pPr>
      <w:r>
        <w:t>In additional to data channel with short information block sizes, t</w:t>
      </w:r>
      <w:r w:rsidR="00B62DCC">
        <w:t xml:space="preserve">his contribution </w:t>
      </w:r>
      <w:r>
        <w:t xml:space="preserve">also </w:t>
      </w:r>
      <w:r w:rsidR="00B62DCC">
        <w:t>investigates the best channel coding candidate</w:t>
      </w:r>
      <w:r w:rsidR="002C42A7">
        <w:t>s</w:t>
      </w:r>
      <w:r w:rsidR="00B62DCC">
        <w:t xml:space="preserve"> for </w:t>
      </w:r>
      <w:r w:rsidR="00697BE6">
        <w:t xml:space="preserve">info block sizes similar to those used in DL/UL </w:t>
      </w:r>
      <w:r w:rsidR="00B62DCC">
        <w:t>control channel.</w:t>
      </w:r>
      <w:r w:rsidR="00241161">
        <w:t xml:space="preserve"> Currently, </w:t>
      </w:r>
      <w:r w:rsidR="00514AD2">
        <w:t xml:space="preserve">DL </w:t>
      </w:r>
      <w:r w:rsidR="00241161">
        <w:t>control channel</w:t>
      </w:r>
      <w:r w:rsidR="00514AD2">
        <w:t xml:space="preserve"> </w:t>
      </w:r>
      <w:r w:rsidR="00043626">
        <w:t xml:space="preserve">and certain UL control channel </w:t>
      </w:r>
      <w:r w:rsidR="00514AD2">
        <w:t xml:space="preserve">(i.e., </w:t>
      </w:r>
      <w:r w:rsidR="00697BE6">
        <w:t xml:space="preserve">encoding of DCI and </w:t>
      </w:r>
      <w:r w:rsidR="009B6824">
        <w:t xml:space="preserve">certain </w:t>
      </w:r>
      <w:r w:rsidR="00697BE6">
        <w:t>UCI</w:t>
      </w:r>
      <w:r w:rsidR="00514AD2">
        <w:t>)</w:t>
      </w:r>
      <w:r w:rsidR="00241161">
        <w:t xml:space="preserve"> in LTE use Tail-Biting Convolutional Codes (TBCC) due to their good performance and low complexity. In [</w:t>
      </w:r>
      <w:r w:rsidR="00883A54">
        <w:t>1</w:t>
      </w:r>
      <w:r w:rsidR="00241161">
        <w:t>], it was observed that Polar Codes with Successive Cancelation (SC) List Decoder when used in PDCCH achieve performance gain over TBCC. In this contribution,</w:t>
      </w:r>
      <w:r w:rsidR="00B62DCC">
        <w:t xml:space="preserve"> performance comparison between </w:t>
      </w:r>
      <w:r w:rsidR="00514AD2">
        <w:t xml:space="preserve">LTE </w:t>
      </w:r>
      <w:r w:rsidR="00B62DCC">
        <w:t>T</w:t>
      </w:r>
      <w:r w:rsidR="00241161">
        <w:t>ail-Biting Convolutional Codes</w:t>
      </w:r>
      <w:r w:rsidR="00B62DCC">
        <w:t xml:space="preserve"> and Polar Codes is presented for </w:t>
      </w:r>
      <w:r w:rsidR="00043626">
        <w:t>the case study of K=29 info bits.</w:t>
      </w:r>
      <w:r w:rsidR="00514AD2">
        <w:t xml:space="preserve">. </w:t>
      </w:r>
      <w:r w:rsidR="009B6824">
        <w:t>The case study shows that once the same assumption is made for both TBCC and Polar codes, the performance gap is minimal.</w:t>
      </w:r>
    </w:p>
    <w:p w:rsidR="00146A51" w:rsidRDefault="00146A51" w:rsidP="002C42A7">
      <w:pPr>
        <w:pStyle w:val="Heading1"/>
      </w:pPr>
      <w:r>
        <w:t>Performance Comparison</w:t>
      </w:r>
      <w:r w:rsidR="00697BE6">
        <w:t xml:space="preserve"> of TBCC and Polar Codes</w:t>
      </w:r>
    </w:p>
    <w:p w:rsidR="00607AD7" w:rsidRDefault="00F22FA1" w:rsidP="00733007">
      <w:pPr>
        <w:pStyle w:val="BodyText"/>
      </w:pPr>
      <w:r>
        <w:t>We compare the performance of TBCC vs. Polar Code</w:t>
      </w:r>
      <w:r w:rsidR="00785D48">
        <w:t xml:space="preserve"> for two cases depending on whether </w:t>
      </w:r>
      <w:r w:rsidR="00697BE6">
        <w:t xml:space="preserve">an outer </w:t>
      </w:r>
      <w:r w:rsidR="00785D48">
        <w:t xml:space="preserve">CRC </w:t>
      </w:r>
      <w:r w:rsidR="00697BE6">
        <w:t xml:space="preserve">code </w:t>
      </w:r>
      <w:r w:rsidR="00785D48">
        <w:t xml:space="preserve">is </w:t>
      </w:r>
      <w:r w:rsidR="00697BE6">
        <w:t xml:space="preserve">introduced </w:t>
      </w:r>
      <w:r w:rsidR="00785D48">
        <w:t xml:space="preserve">or not </w:t>
      </w:r>
      <w:r w:rsidR="00697BE6">
        <w:t>to assist with</w:t>
      </w:r>
      <w:r w:rsidR="00785D48">
        <w:t xml:space="preserve"> the decoding: </w:t>
      </w:r>
    </w:p>
    <w:p w:rsidR="00607AD7" w:rsidRDefault="00785D48" w:rsidP="00A73DBF">
      <w:pPr>
        <w:pStyle w:val="BodyText"/>
        <w:numPr>
          <w:ilvl w:val="0"/>
          <w:numId w:val="27"/>
        </w:numPr>
      </w:pPr>
      <w:r>
        <w:t xml:space="preserve">16-bit CRC is used for selecting the best </w:t>
      </w:r>
      <w:proofErr w:type="spellStart"/>
      <w:r>
        <w:t>codeword</w:t>
      </w:r>
      <w:proofErr w:type="spellEnd"/>
      <w:r>
        <w:t xml:space="preserve"> candidate from the list, and </w:t>
      </w:r>
    </w:p>
    <w:p w:rsidR="00607AD7" w:rsidRDefault="00785D48" w:rsidP="00A73DBF">
      <w:pPr>
        <w:pStyle w:val="BodyText"/>
        <w:numPr>
          <w:ilvl w:val="0"/>
          <w:numId w:val="27"/>
        </w:numPr>
      </w:pPr>
      <w:proofErr w:type="gramStart"/>
      <w:r>
        <w:t>decoding</w:t>
      </w:r>
      <w:proofErr w:type="gramEnd"/>
      <w:r>
        <w:t xml:space="preserve"> is performed without </w:t>
      </w:r>
      <w:r w:rsidR="00607AD7">
        <w:t xml:space="preserve">the </w:t>
      </w:r>
      <w:r>
        <w:t xml:space="preserve">aid of </w:t>
      </w:r>
      <w:r w:rsidR="00697BE6">
        <w:t xml:space="preserve">an outer </w:t>
      </w:r>
      <w:r>
        <w:t>CRC</w:t>
      </w:r>
      <w:r w:rsidR="00697BE6">
        <w:t xml:space="preserve"> code</w:t>
      </w:r>
      <w:r>
        <w:t xml:space="preserve">. </w:t>
      </w:r>
    </w:p>
    <w:p w:rsidR="00534B32" w:rsidRDefault="00785D48" w:rsidP="00733007">
      <w:pPr>
        <w:pStyle w:val="BodyText"/>
      </w:pPr>
      <w:r>
        <w:t>In the first case, decoders for</w:t>
      </w:r>
      <w:r w:rsidR="00F22FA1">
        <w:t xml:space="preserve"> bo</w:t>
      </w:r>
      <w:r w:rsidR="00515413">
        <w:t>th codes use list decoding</w:t>
      </w:r>
      <w:r w:rsidR="00F22FA1">
        <w:t>. In particular, TBCC uses list-Viterbi decoder whereas Polar code uses Successive Cancelation</w:t>
      </w:r>
      <w:r w:rsidR="00515413">
        <w:t xml:space="preserve"> (SC) l</w:t>
      </w:r>
      <w:r w:rsidR="00F22FA1">
        <w:t xml:space="preserve">ist decoder. </w:t>
      </w:r>
    </w:p>
    <w:p w:rsidR="003A0816" w:rsidRDefault="00420863" w:rsidP="003A0816">
      <w:pPr>
        <w:pStyle w:val="Heading2"/>
      </w:pPr>
      <w:r>
        <w:lastRenderedPageBreak/>
        <w:t>TBCC</w:t>
      </w:r>
      <w:r w:rsidR="009E5033">
        <w:t xml:space="preserve"> vs</w:t>
      </w:r>
      <w:r w:rsidR="00CB6744">
        <w:t>.</w:t>
      </w:r>
      <w:r w:rsidR="00F5750B">
        <w:t xml:space="preserve"> Polar Code </w:t>
      </w:r>
      <w:r w:rsidR="00043626">
        <w:t>Case Study</w:t>
      </w:r>
    </w:p>
    <w:p w:rsidR="00276673" w:rsidRDefault="00420863" w:rsidP="00733007">
      <w:pPr>
        <w:pStyle w:val="BodyText"/>
      </w:pPr>
      <w:r>
        <w:t xml:space="preserve">We </w:t>
      </w:r>
      <w:r w:rsidR="00F22FA1">
        <w:t xml:space="preserve">first </w:t>
      </w:r>
      <w:r>
        <w:t>compare the performance of TBCC vs. Polar Code</w:t>
      </w:r>
      <w:r w:rsidR="00E754C1">
        <w:t xml:space="preserve"> for the case in which both codes use list decoding with </w:t>
      </w:r>
      <w:r w:rsidR="00607AD7">
        <w:t xml:space="preserve">the aid of </w:t>
      </w:r>
      <w:r w:rsidR="005D2F87">
        <w:t xml:space="preserve">16-bit </w:t>
      </w:r>
      <w:r w:rsidR="00E754C1">
        <w:t>CRC.</w:t>
      </w:r>
      <w:r w:rsidR="00607AD7">
        <w:t xml:space="preserve"> This is called “with-CRC” below.</w:t>
      </w:r>
      <w:r w:rsidR="00F22FA1">
        <w:t xml:space="preserve"> </w:t>
      </w:r>
      <w:r w:rsidR="00E754C1">
        <w:t>Figure 1 shows the performance comparison of the two codes for</w:t>
      </w:r>
      <w:r w:rsidR="00241161">
        <w:t xml:space="preserve"> </w:t>
      </w:r>
      <w:r w:rsidR="00043626">
        <w:t>info block size K=29 bits</w:t>
      </w:r>
      <w:r w:rsidR="00E754C1">
        <w:t>. The plot also show</w:t>
      </w:r>
      <w:r w:rsidR="00DF12EC">
        <w:t>s TBCC</w:t>
      </w:r>
      <w:r w:rsidR="00E754C1">
        <w:t xml:space="preserve"> </w:t>
      </w:r>
      <w:r w:rsidR="00DF12EC">
        <w:t>performance with list size of 16 as well as the case of no list decoding (i.e., list size</w:t>
      </w:r>
      <w:r w:rsidR="00607AD7">
        <w:t>=</w:t>
      </w:r>
      <w:r w:rsidR="00DF12EC">
        <w:t>1). We observe that when both codes use the list size L=32, the two codes have comparable performance</w:t>
      </w:r>
      <w:r w:rsidR="00607AD7">
        <w:t>.</w:t>
      </w:r>
      <w:r w:rsidR="00DF12EC">
        <w:t xml:space="preserve"> </w:t>
      </w:r>
      <w:r w:rsidR="00607AD7">
        <w:t>Therefore</w:t>
      </w:r>
      <w:r w:rsidR="00515413">
        <w:t>, in terms of performance</w:t>
      </w:r>
      <w:r w:rsidR="00276673">
        <w:t>,</w:t>
      </w:r>
      <w:r w:rsidR="00DF12EC">
        <w:t xml:space="preserve"> there is no incentive to replace currently used TBCC with Polar Code</w:t>
      </w:r>
      <w:r w:rsidR="00241161">
        <w:t>s</w:t>
      </w:r>
      <w:r w:rsidR="00276673">
        <w:t>.</w:t>
      </w:r>
      <w:r w:rsidR="001E19EE">
        <w:t xml:space="preserve"> </w:t>
      </w:r>
    </w:p>
    <w:p w:rsidR="00607AD7" w:rsidRDefault="00607AD7" w:rsidP="00733007">
      <w:pPr>
        <w:pStyle w:val="BodyText"/>
      </w:pPr>
    </w:p>
    <w:p w:rsidR="00607AD7" w:rsidRDefault="00A71CC3" w:rsidP="00A73DBF">
      <w:pPr>
        <w:pStyle w:val="Proposal"/>
        <w:numPr>
          <w:ilvl w:val="0"/>
          <w:numId w:val="23"/>
        </w:numPr>
        <w:rPr>
          <w:lang w:val="en-US"/>
        </w:rPr>
      </w:pPr>
      <w:r>
        <w:rPr>
          <w:lang w:val="en-US"/>
        </w:rPr>
        <w:t xml:space="preserve">For info block size </w:t>
      </w:r>
      <w:r w:rsidR="001439F0">
        <w:rPr>
          <w:lang w:val="en-US"/>
        </w:rPr>
        <w:t xml:space="preserve">in the </w:t>
      </w:r>
      <w:r>
        <w:rPr>
          <w:lang w:val="en-US"/>
        </w:rPr>
        <w:t xml:space="preserve">range of </w:t>
      </w:r>
      <w:r w:rsidR="001439F0">
        <w:rPr>
          <w:lang w:val="en-US"/>
        </w:rPr>
        <w:t>DCI</w:t>
      </w:r>
      <w:r w:rsidR="00607AD7">
        <w:rPr>
          <w:lang w:val="en-US"/>
        </w:rPr>
        <w:t xml:space="preserve">, TBCC with list-Viterbi decoder and Polar code with SC list decoder, both of list size 32, achieve comparable performance. </w:t>
      </w:r>
    </w:p>
    <w:p w:rsidR="00607AD7" w:rsidRDefault="00607AD7" w:rsidP="00733007">
      <w:pPr>
        <w:pStyle w:val="BodyText"/>
      </w:pPr>
    </w:p>
    <w:p w:rsidR="00DF12EC" w:rsidRDefault="00FB05CA" w:rsidP="0070568C">
      <w:pPr>
        <w:pStyle w:val="BodyText"/>
        <w:jc w:val="center"/>
      </w:pPr>
      <w:r w:rsidRPr="00FB05CA">
        <w:rPr>
          <w:noProof/>
          <w:lang w:eastAsia="zh-CN"/>
        </w:rPr>
        <w:drawing>
          <wp:inline distT="0" distB="0" distL="0" distR="0" wp14:anchorId="7E95C1BF" wp14:editId="5236BAB7">
            <wp:extent cx="5334000" cy="37490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5658" b="630"/>
                    <a:stretch/>
                  </pic:blipFill>
                  <pic:spPr bwMode="auto">
                    <a:xfrm>
                      <a:off x="0" y="0"/>
                      <a:ext cx="5334000" cy="3749040"/>
                    </a:xfrm>
                    <a:prstGeom prst="rect">
                      <a:avLst/>
                    </a:prstGeom>
                    <a:ln>
                      <a:noFill/>
                    </a:ln>
                    <a:extLst>
                      <a:ext uri="{53640926-AAD7-44D8-BBD7-CCE9431645EC}">
                        <a14:shadowObscured xmlns:a14="http://schemas.microsoft.com/office/drawing/2010/main"/>
                      </a:ext>
                    </a:extLst>
                  </pic:spPr>
                </pic:pic>
              </a:graphicData>
            </a:graphic>
          </wp:inline>
        </w:drawing>
      </w:r>
    </w:p>
    <w:p w:rsidR="005D2F87" w:rsidRDefault="005D2F87" w:rsidP="00733007">
      <w:pPr>
        <w:pStyle w:val="BodyText"/>
      </w:pPr>
      <w:proofErr w:type="gramStart"/>
      <w:r>
        <w:t>Figure 1.</w:t>
      </w:r>
      <w:proofErr w:type="gramEnd"/>
      <w:r>
        <w:t xml:space="preserve"> TBCC vs. Polar Code comparison for K=29, N=288</w:t>
      </w:r>
      <w:r w:rsidR="00774E10">
        <w:t xml:space="preserve">. </w:t>
      </w:r>
      <w:r>
        <w:t>16-bit CRC is used</w:t>
      </w:r>
      <w:r w:rsidR="00607AD7">
        <w:t xml:space="preserve"> to aid list decoding</w:t>
      </w:r>
      <w:r>
        <w:t>. TBCC uses list-Viterbi decoder of list size 32. Polar code uses SC list decoder of size 32.</w:t>
      </w:r>
    </w:p>
    <w:p w:rsidR="00A81F90" w:rsidRDefault="00A81F90">
      <w:pPr>
        <w:spacing w:after="200" w:line="276" w:lineRule="auto"/>
        <w:rPr>
          <w:rFonts w:ascii="Arial" w:hAnsi="Arial"/>
          <w:b/>
          <w:bCs/>
          <w:szCs w:val="20"/>
          <w:lang w:eastAsia="zh-CN"/>
        </w:rPr>
      </w:pPr>
      <w:r>
        <w:br w:type="page"/>
      </w:r>
    </w:p>
    <w:p w:rsidR="00B130D5" w:rsidRDefault="00A81F90" w:rsidP="005D2F87">
      <w:pPr>
        <w:pStyle w:val="Proposal"/>
        <w:rPr>
          <w:rFonts w:ascii="Times New Roman" w:eastAsia="MS Mincho" w:hAnsi="Times New Roman"/>
          <w:b w:val="0"/>
          <w:bCs w:val="0"/>
          <w:szCs w:val="24"/>
          <w:lang w:val="en-US" w:eastAsia="en-US"/>
        </w:rPr>
      </w:pPr>
      <w:r>
        <w:rPr>
          <w:rFonts w:ascii="Times New Roman" w:eastAsia="MS Mincho" w:hAnsi="Times New Roman"/>
          <w:b w:val="0"/>
          <w:bCs w:val="0"/>
          <w:szCs w:val="24"/>
          <w:lang w:val="en-US" w:eastAsia="en-US"/>
        </w:rPr>
        <w:lastRenderedPageBreak/>
        <w:t>We next</w:t>
      </w:r>
      <w:r w:rsidRPr="00A81F90">
        <w:rPr>
          <w:rFonts w:ascii="Times New Roman" w:eastAsia="MS Mincho" w:hAnsi="Times New Roman"/>
          <w:b w:val="0"/>
          <w:bCs w:val="0"/>
          <w:szCs w:val="24"/>
          <w:lang w:val="en-US" w:eastAsia="en-US"/>
        </w:rPr>
        <w:t xml:space="preserve"> compare the performance of TBCC vs. Polar Code for the case in which </w:t>
      </w:r>
      <w:r w:rsidR="00A73DBF">
        <w:rPr>
          <w:rFonts w:ascii="Times New Roman" w:eastAsia="MS Mincho" w:hAnsi="Times New Roman"/>
          <w:b w:val="0"/>
          <w:bCs w:val="0"/>
          <w:szCs w:val="24"/>
          <w:lang w:val="en-US" w:eastAsia="en-US"/>
        </w:rPr>
        <w:t xml:space="preserve">no </w:t>
      </w:r>
      <w:r w:rsidR="00D0367D">
        <w:rPr>
          <w:rFonts w:ascii="Times New Roman" w:eastAsia="MS Mincho" w:hAnsi="Times New Roman"/>
          <w:b w:val="0"/>
          <w:bCs w:val="0"/>
          <w:szCs w:val="24"/>
          <w:lang w:val="en-US" w:eastAsia="en-US"/>
        </w:rPr>
        <w:t>CRC is leveraged by the decoder</w:t>
      </w:r>
      <w:r>
        <w:rPr>
          <w:rFonts w:ascii="Times New Roman" w:eastAsia="MS Mincho" w:hAnsi="Times New Roman"/>
          <w:b w:val="0"/>
          <w:bCs w:val="0"/>
          <w:szCs w:val="24"/>
          <w:lang w:val="en-US" w:eastAsia="en-US"/>
        </w:rPr>
        <w:t>.</w:t>
      </w:r>
      <w:r w:rsidR="00607AD7">
        <w:rPr>
          <w:rFonts w:ascii="Times New Roman" w:eastAsia="MS Mincho" w:hAnsi="Times New Roman"/>
          <w:b w:val="0"/>
          <w:bCs w:val="0"/>
          <w:szCs w:val="24"/>
          <w:lang w:val="en-US" w:eastAsia="en-US"/>
        </w:rPr>
        <w:t xml:space="preserve"> </w:t>
      </w:r>
      <w:r w:rsidR="00607AD7" w:rsidRPr="00607AD7">
        <w:rPr>
          <w:rFonts w:ascii="Times New Roman" w:eastAsia="MS Mincho" w:hAnsi="Times New Roman"/>
          <w:b w:val="0"/>
          <w:bCs w:val="0"/>
          <w:szCs w:val="24"/>
          <w:lang w:val="en-US" w:eastAsia="en-US"/>
        </w:rPr>
        <w:t>This is called “</w:t>
      </w:r>
      <w:r w:rsidR="00607AD7">
        <w:rPr>
          <w:rFonts w:ascii="Times New Roman" w:eastAsia="MS Mincho" w:hAnsi="Times New Roman"/>
          <w:b w:val="0"/>
          <w:bCs w:val="0"/>
          <w:szCs w:val="24"/>
          <w:lang w:val="en-US" w:eastAsia="en-US"/>
        </w:rPr>
        <w:t>no</w:t>
      </w:r>
      <w:r w:rsidR="00607AD7" w:rsidRPr="00607AD7">
        <w:rPr>
          <w:rFonts w:ascii="Times New Roman" w:eastAsia="MS Mincho" w:hAnsi="Times New Roman"/>
          <w:b w:val="0"/>
          <w:bCs w:val="0"/>
          <w:szCs w:val="24"/>
          <w:lang w:val="en-US" w:eastAsia="en-US"/>
        </w:rPr>
        <w:t xml:space="preserve">-CRC” below. </w:t>
      </w:r>
      <w:r w:rsidR="00D0367D">
        <w:rPr>
          <w:rFonts w:ascii="Times New Roman" w:eastAsia="MS Mincho" w:hAnsi="Times New Roman"/>
          <w:b w:val="0"/>
          <w:bCs w:val="0"/>
          <w:szCs w:val="24"/>
          <w:lang w:val="en-US" w:eastAsia="en-US"/>
        </w:rPr>
        <w:t xml:space="preserve"> </w:t>
      </w:r>
      <w:r w:rsidR="0064511D">
        <w:rPr>
          <w:rFonts w:ascii="Times New Roman" w:eastAsia="MS Mincho" w:hAnsi="Times New Roman"/>
          <w:b w:val="0"/>
          <w:bCs w:val="0"/>
          <w:szCs w:val="24"/>
          <w:lang w:val="en-US" w:eastAsia="en-US"/>
        </w:rPr>
        <w:t xml:space="preserve">The comparison is shown in Figure 2. </w:t>
      </w:r>
      <w:r>
        <w:rPr>
          <w:rFonts w:ascii="Times New Roman" w:eastAsia="MS Mincho" w:hAnsi="Times New Roman"/>
          <w:b w:val="0"/>
          <w:bCs w:val="0"/>
          <w:szCs w:val="24"/>
          <w:lang w:val="en-US" w:eastAsia="en-US"/>
        </w:rPr>
        <w:t xml:space="preserve"> </w:t>
      </w:r>
      <w:r w:rsidR="0064511D">
        <w:rPr>
          <w:rFonts w:ascii="Times New Roman" w:eastAsia="MS Mincho" w:hAnsi="Times New Roman"/>
          <w:b w:val="0"/>
          <w:bCs w:val="0"/>
          <w:szCs w:val="24"/>
          <w:lang w:val="en-US" w:eastAsia="en-US"/>
        </w:rPr>
        <w:t xml:space="preserve">Since CRC in this case is not used, </w:t>
      </w:r>
      <w:r w:rsidR="00891AF2">
        <w:rPr>
          <w:rFonts w:ascii="Times New Roman" w:eastAsia="MS Mincho" w:hAnsi="Times New Roman"/>
          <w:b w:val="0"/>
          <w:bCs w:val="0"/>
          <w:szCs w:val="24"/>
          <w:lang w:val="en-US" w:eastAsia="en-US"/>
        </w:rPr>
        <w:t xml:space="preserve">code rate is lower </w:t>
      </w:r>
      <w:r w:rsidR="00607AD7">
        <w:rPr>
          <w:rFonts w:ascii="Times New Roman" w:eastAsia="MS Mincho" w:hAnsi="Times New Roman"/>
          <w:b w:val="0"/>
          <w:bCs w:val="0"/>
          <w:szCs w:val="24"/>
          <w:lang w:val="en-US" w:eastAsia="en-US"/>
        </w:rPr>
        <w:t xml:space="preserve">from the perspective of channel encoder (TBCC or Polar code), </w:t>
      </w:r>
      <w:r w:rsidR="0064511D">
        <w:rPr>
          <w:rFonts w:ascii="Times New Roman" w:eastAsia="MS Mincho" w:hAnsi="Times New Roman"/>
          <w:b w:val="0"/>
          <w:bCs w:val="0"/>
          <w:szCs w:val="24"/>
          <w:lang w:val="en-US" w:eastAsia="en-US"/>
        </w:rPr>
        <w:t>which leads to 2dB coding gain.</w:t>
      </w:r>
      <w:r w:rsidR="00A73DBF">
        <w:rPr>
          <w:rFonts w:ascii="Times New Roman" w:eastAsia="MS Mincho" w:hAnsi="Times New Roman"/>
          <w:b w:val="0"/>
          <w:bCs w:val="0"/>
          <w:szCs w:val="24"/>
          <w:lang w:val="en-US" w:eastAsia="en-US"/>
        </w:rPr>
        <w:t xml:space="preserve"> For TBCC, standard Viterbi decoding algorithm (i.e., without list) is used.</w:t>
      </w:r>
      <w:r w:rsidR="0064511D">
        <w:rPr>
          <w:rFonts w:ascii="Times New Roman" w:eastAsia="MS Mincho" w:hAnsi="Times New Roman"/>
          <w:b w:val="0"/>
          <w:bCs w:val="0"/>
          <w:szCs w:val="24"/>
          <w:lang w:val="en-US" w:eastAsia="en-US"/>
        </w:rPr>
        <w:t xml:space="preserve"> In the case of</w:t>
      </w:r>
      <w:r w:rsidR="00CE5B5C">
        <w:rPr>
          <w:rFonts w:ascii="Times New Roman" w:eastAsia="MS Mincho" w:hAnsi="Times New Roman"/>
          <w:b w:val="0"/>
          <w:bCs w:val="0"/>
          <w:szCs w:val="24"/>
          <w:lang w:val="en-US" w:eastAsia="en-US"/>
        </w:rPr>
        <w:t xml:space="preserve"> Polar code</w:t>
      </w:r>
      <w:r w:rsidR="0064511D">
        <w:rPr>
          <w:rFonts w:ascii="Times New Roman" w:eastAsia="MS Mincho" w:hAnsi="Times New Roman"/>
          <w:b w:val="0"/>
          <w:bCs w:val="0"/>
          <w:szCs w:val="24"/>
          <w:lang w:val="en-US" w:eastAsia="en-US"/>
        </w:rPr>
        <w:t>,</w:t>
      </w:r>
      <w:r>
        <w:rPr>
          <w:rFonts w:ascii="Times New Roman" w:eastAsia="MS Mincho" w:hAnsi="Times New Roman"/>
          <w:b w:val="0"/>
          <w:bCs w:val="0"/>
          <w:szCs w:val="24"/>
          <w:lang w:val="en-US" w:eastAsia="en-US"/>
        </w:rPr>
        <w:t xml:space="preserve"> SC list dec</w:t>
      </w:r>
      <w:r w:rsidR="001E3AF4">
        <w:rPr>
          <w:rFonts w:ascii="Times New Roman" w:eastAsia="MS Mincho" w:hAnsi="Times New Roman"/>
          <w:b w:val="0"/>
          <w:bCs w:val="0"/>
          <w:szCs w:val="24"/>
          <w:lang w:val="en-US" w:eastAsia="en-US"/>
        </w:rPr>
        <w:t>odi</w:t>
      </w:r>
      <w:r>
        <w:rPr>
          <w:rFonts w:ascii="Times New Roman" w:eastAsia="MS Mincho" w:hAnsi="Times New Roman"/>
          <w:b w:val="0"/>
          <w:bCs w:val="0"/>
          <w:szCs w:val="24"/>
          <w:lang w:val="en-US" w:eastAsia="en-US"/>
        </w:rPr>
        <w:t>n</w:t>
      </w:r>
      <w:r w:rsidR="001E3AF4">
        <w:rPr>
          <w:rFonts w:ascii="Times New Roman" w:eastAsia="MS Mincho" w:hAnsi="Times New Roman"/>
          <w:b w:val="0"/>
          <w:bCs w:val="0"/>
          <w:szCs w:val="24"/>
          <w:lang w:val="en-US" w:eastAsia="en-US"/>
        </w:rPr>
        <w:t>g</w:t>
      </w:r>
      <w:r w:rsidR="0064511D">
        <w:rPr>
          <w:rFonts w:ascii="Times New Roman" w:eastAsia="MS Mincho" w:hAnsi="Times New Roman"/>
          <w:b w:val="0"/>
          <w:bCs w:val="0"/>
          <w:szCs w:val="24"/>
          <w:lang w:val="en-US" w:eastAsia="en-US"/>
        </w:rPr>
        <w:t xml:space="preserve"> is again performed</w:t>
      </w:r>
      <w:r w:rsidR="001E3AF4">
        <w:rPr>
          <w:rFonts w:ascii="Times New Roman" w:eastAsia="MS Mincho" w:hAnsi="Times New Roman"/>
          <w:b w:val="0"/>
          <w:bCs w:val="0"/>
          <w:szCs w:val="24"/>
          <w:lang w:val="en-US" w:eastAsia="en-US"/>
        </w:rPr>
        <w:t>.</w:t>
      </w:r>
      <w:r>
        <w:rPr>
          <w:rFonts w:ascii="Times New Roman" w:eastAsia="MS Mincho" w:hAnsi="Times New Roman"/>
          <w:b w:val="0"/>
          <w:bCs w:val="0"/>
          <w:szCs w:val="24"/>
          <w:lang w:val="en-US" w:eastAsia="en-US"/>
        </w:rPr>
        <w:t xml:space="preserve"> </w:t>
      </w:r>
      <w:r w:rsidR="001E3AF4">
        <w:rPr>
          <w:rFonts w:ascii="Times New Roman" w:eastAsia="MS Mincho" w:hAnsi="Times New Roman"/>
          <w:b w:val="0"/>
          <w:bCs w:val="0"/>
          <w:szCs w:val="24"/>
          <w:lang w:val="en-US" w:eastAsia="en-US"/>
        </w:rPr>
        <w:t xml:space="preserve">In </w:t>
      </w:r>
      <w:r>
        <w:rPr>
          <w:rFonts w:ascii="Times New Roman" w:eastAsia="MS Mincho" w:hAnsi="Times New Roman"/>
          <w:b w:val="0"/>
          <w:bCs w:val="0"/>
          <w:szCs w:val="24"/>
          <w:lang w:val="en-US" w:eastAsia="en-US"/>
        </w:rPr>
        <w:t>this case,</w:t>
      </w:r>
      <w:r w:rsidR="00CE5B5C">
        <w:rPr>
          <w:rFonts w:ascii="Times New Roman" w:eastAsia="MS Mincho" w:hAnsi="Times New Roman"/>
          <w:b w:val="0"/>
          <w:bCs w:val="0"/>
          <w:szCs w:val="24"/>
          <w:lang w:val="en-US" w:eastAsia="en-US"/>
        </w:rPr>
        <w:t xml:space="preserve"> instead of choosing the </w:t>
      </w:r>
      <w:proofErr w:type="spellStart"/>
      <w:r w:rsidR="00CE5B5C">
        <w:rPr>
          <w:rFonts w:ascii="Times New Roman" w:eastAsia="MS Mincho" w:hAnsi="Times New Roman"/>
          <w:b w:val="0"/>
          <w:bCs w:val="0"/>
          <w:szCs w:val="24"/>
          <w:lang w:val="en-US" w:eastAsia="en-US"/>
        </w:rPr>
        <w:t>codeword</w:t>
      </w:r>
      <w:proofErr w:type="spellEnd"/>
      <w:r w:rsidR="00CE5B5C">
        <w:rPr>
          <w:rFonts w:ascii="Times New Roman" w:eastAsia="MS Mincho" w:hAnsi="Times New Roman"/>
          <w:b w:val="0"/>
          <w:bCs w:val="0"/>
          <w:szCs w:val="24"/>
          <w:lang w:val="en-US" w:eastAsia="en-US"/>
        </w:rPr>
        <w:t xml:space="preserve"> that passes CRC</w:t>
      </w:r>
      <w:r w:rsidR="001E3AF4">
        <w:rPr>
          <w:rFonts w:ascii="Times New Roman" w:eastAsia="MS Mincho" w:hAnsi="Times New Roman"/>
          <w:b w:val="0"/>
          <w:bCs w:val="0"/>
          <w:szCs w:val="24"/>
          <w:lang w:val="en-US" w:eastAsia="en-US"/>
        </w:rPr>
        <w:t>, the</w:t>
      </w:r>
      <w:r>
        <w:rPr>
          <w:rFonts w:ascii="Times New Roman" w:eastAsia="MS Mincho" w:hAnsi="Times New Roman"/>
          <w:b w:val="0"/>
          <w:bCs w:val="0"/>
          <w:szCs w:val="24"/>
          <w:lang w:val="en-US" w:eastAsia="en-US"/>
        </w:rPr>
        <w:t xml:space="preserve"> most likely </w:t>
      </w:r>
      <w:proofErr w:type="spellStart"/>
      <w:r>
        <w:rPr>
          <w:rFonts w:ascii="Times New Roman" w:eastAsia="MS Mincho" w:hAnsi="Times New Roman"/>
          <w:b w:val="0"/>
          <w:bCs w:val="0"/>
          <w:szCs w:val="24"/>
          <w:lang w:val="en-US" w:eastAsia="en-US"/>
        </w:rPr>
        <w:t>codeword</w:t>
      </w:r>
      <w:proofErr w:type="spellEnd"/>
      <w:r>
        <w:rPr>
          <w:rFonts w:ascii="Times New Roman" w:eastAsia="MS Mincho" w:hAnsi="Times New Roman"/>
          <w:b w:val="0"/>
          <w:bCs w:val="0"/>
          <w:szCs w:val="24"/>
          <w:lang w:val="en-US" w:eastAsia="en-US"/>
        </w:rPr>
        <w:t xml:space="preserve"> from the list </w:t>
      </w:r>
      <w:r w:rsidR="00CE5B5C">
        <w:rPr>
          <w:rFonts w:ascii="Times New Roman" w:eastAsia="MS Mincho" w:hAnsi="Times New Roman"/>
          <w:b w:val="0"/>
          <w:bCs w:val="0"/>
          <w:szCs w:val="24"/>
          <w:lang w:val="en-US" w:eastAsia="en-US"/>
        </w:rPr>
        <w:t>is chosen.</w:t>
      </w:r>
      <w:r>
        <w:rPr>
          <w:rFonts w:ascii="Times New Roman" w:eastAsia="MS Mincho" w:hAnsi="Times New Roman"/>
          <w:b w:val="0"/>
          <w:bCs w:val="0"/>
          <w:szCs w:val="24"/>
          <w:lang w:val="en-US" w:eastAsia="en-US"/>
        </w:rPr>
        <w:t xml:space="preserve"> </w:t>
      </w:r>
    </w:p>
    <w:p w:rsidR="000B0D21" w:rsidRDefault="000B0D21" w:rsidP="005D2F87">
      <w:pPr>
        <w:pStyle w:val="Proposal"/>
        <w:rPr>
          <w:rFonts w:ascii="Times New Roman" w:eastAsia="MS Mincho" w:hAnsi="Times New Roman"/>
          <w:b w:val="0"/>
          <w:bCs w:val="0"/>
          <w:szCs w:val="24"/>
          <w:lang w:val="en-US" w:eastAsia="en-US"/>
        </w:rPr>
      </w:pPr>
    </w:p>
    <w:p w:rsidR="00A81F90" w:rsidRDefault="00D91DEE" w:rsidP="0070568C">
      <w:pPr>
        <w:pStyle w:val="Proposal"/>
        <w:jc w:val="center"/>
        <w:rPr>
          <w:rFonts w:ascii="Times New Roman" w:eastAsia="MS Mincho" w:hAnsi="Times New Roman"/>
          <w:b w:val="0"/>
          <w:bCs w:val="0"/>
          <w:szCs w:val="24"/>
          <w:lang w:val="en-US" w:eastAsia="en-US"/>
        </w:rPr>
      </w:pPr>
      <w:r w:rsidRPr="00D91DEE">
        <w:rPr>
          <w:rFonts w:ascii="Times New Roman" w:eastAsia="MS Mincho" w:hAnsi="Times New Roman"/>
          <w:b w:val="0"/>
          <w:bCs w:val="0"/>
          <w:noProof/>
          <w:szCs w:val="24"/>
          <w:lang w:val="en-US"/>
        </w:rPr>
        <w:drawing>
          <wp:inline distT="0" distB="0" distL="0" distR="0" wp14:anchorId="553CA640" wp14:editId="12C2D32C">
            <wp:extent cx="5334000" cy="3749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t="5428" b="857"/>
                    <a:stretch/>
                  </pic:blipFill>
                  <pic:spPr bwMode="auto">
                    <a:xfrm>
                      <a:off x="0" y="0"/>
                      <a:ext cx="5334000" cy="3749040"/>
                    </a:xfrm>
                    <a:prstGeom prst="rect">
                      <a:avLst/>
                    </a:prstGeom>
                    <a:ln>
                      <a:noFill/>
                    </a:ln>
                    <a:extLst>
                      <a:ext uri="{53640926-AAD7-44D8-BBD7-CCE9431645EC}">
                        <a14:shadowObscured xmlns:a14="http://schemas.microsoft.com/office/drawing/2010/main"/>
                      </a:ext>
                    </a:extLst>
                  </pic:spPr>
                </pic:pic>
              </a:graphicData>
            </a:graphic>
          </wp:inline>
        </w:drawing>
      </w:r>
    </w:p>
    <w:p w:rsidR="00A81F90" w:rsidRDefault="00A81F90" w:rsidP="00A81F90">
      <w:pPr>
        <w:pStyle w:val="BodyText"/>
      </w:pPr>
      <w:proofErr w:type="gramStart"/>
      <w:r>
        <w:t>Figure 2.</w:t>
      </w:r>
      <w:proofErr w:type="gramEnd"/>
      <w:r>
        <w:t xml:space="preserve"> TBCC vs. Polar Code comparison for </w:t>
      </w:r>
      <w:r w:rsidR="00774E10">
        <w:t>K=29, N=288. N</w:t>
      </w:r>
      <w:r>
        <w:t xml:space="preserve">o </w:t>
      </w:r>
      <w:r w:rsidR="00043626">
        <w:t xml:space="preserve">outer </w:t>
      </w:r>
      <w:r>
        <w:t>CRC is used</w:t>
      </w:r>
      <w:r w:rsidR="00774E10">
        <w:t xml:space="preserve"> to aid decoding</w:t>
      </w:r>
      <w:r>
        <w:t>. TBCC does not use list-Viterbi decoder. Polar code uses SC list decoder of size 32.</w:t>
      </w:r>
    </w:p>
    <w:p w:rsidR="000B0D21" w:rsidRDefault="000B0D21" w:rsidP="00A81F90">
      <w:pPr>
        <w:pStyle w:val="BodyText"/>
      </w:pPr>
    </w:p>
    <w:p w:rsidR="00427295" w:rsidRDefault="00427295" w:rsidP="00427295">
      <w:pPr>
        <w:pStyle w:val="BodyText"/>
      </w:pPr>
      <w:r>
        <w:t xml:space="preserve">In this </w:t>
      </w:r>
      <w:r w:rsidR="00043626">
        <w:t xml:space="preserve">case </w:t>
      </w:r>
      <w:proofErr w:type="gramStart"/>
      <w:r>
        <w:t>study, the CRC bits</w:t>
      </w:r>
      <w:r w:rsidR="00CF6B0F">
        <w:t>, if present,</w:t>
      </w:r>
      <w:r>
        <w:t xml:space="preserve"> are</w:t>
      </w:r>
      <w:proofErr w:type="gramEnd"/>
      <w:r>
        <w:t xml:space="preserve"> attached for decoding purpose. </w:t>
      </w:r>
      <w:r w:rsidR="00CF6B0F">
        <w:t xml:space="preserve">Hence </w:t>
      </w:r>
      <w:r w:rsidR="00976F4A">
        <w:t xml:space="preserve">“no CRC” in Figure 2 only refers to not leveraging CRC bits in error correction decoder. CRC bits can still be attached for error detection purpose. Not leveraging CRC bits in the decoder makes sure that the error detection capability is not compromised. </w:t>
      </w:r>
      <w:r>
        <w:t xml:space="preserve">The CRC attached for error detection, </w:t>
      </w:r>
      <w:r w:rsidR="00976F4A">
        <w:t>as expected to be defined for DCI</w:t>
      </w:r>
      <w:r>
        <w:t>, is considered a separate set of bits, so that the error detection capability</w:t>
      </w:r>
      <w:r w:rsidR="00976F4A">
        <w:t xml:space="preserve">, which is important in blind decoding of </w:t>
      </w:r>
      <w:r w:rsidR="009B6824">
        <w:t xml:space="preserve">LTE </w:t>
      </w:r>
      <w:r w:rsidR="00976F4A">
        <w:t>PDCCH,</w:t>
      </w:r>
      <w:r>
        <w:t xml:space="preserve"> is not compromised due to channel decoder implementation. </w:t>
      </w:r>
    </w:p>
    <w:p w:rsidR="00427295" w:rsidRDefault="00427295" w:rsidP="00427295">
      <w:pPr>
        <w:pStyle w:val="BodyText"/>
      </w:pPr>
      <w:r>
        <w:t>The difference between the scenarios simulated in Figure 1 and Figure 2 are summarized below.</w:t>
      </w:r>
    </w:p>
    <w:p w:rsidR="00427295" w:rsidRDefault="00427295" w:rsidP="00427295">
      <w:pPr>
        <w:pStyle w:val="BodyText"/>
        <w:numPr>
          <w:ilvl w:val="0"/>
          <w:numId w:val="25"/>
        </w:numPr>
      </w:pPr>
      <w:r>
        <w:t>In Figure 1</w:t>
      </w:r>
      <w:proofErr w:type="gramStart"/>
      <w:r>
        <w:t xml:space="preserve">,  </w:t>
      </w:r>
      <w:proofErr w:type="spellStart"/>
      <w:r>
        <w:t>K</w:t>
      </w:r>
      <w:r w:rsidRPr="00B63607">
        <w:rPr>
          <w:vertAlign w:val="subscript"/>
        </w:rPr>
        <w:t>payload</w:t>
      </w:r>
      <w:proofErr w:type="spellEnd"/>
      <w:proofErr w:type="gramEnd"/>
      <w:r>
        <w:t xml:space="preserve"> = 29 bits, 16 CRC bits are attached to the payload before encoding. Input to encoder (Polar or TBCC) is K=29+16=45 bits. </w:t>
      </w:r>
    </w:p>
    <w:p w:rsidR="00427295" w:rsidRDefault="00427295" w:rsidP="00427295">
      <w:pPr>
        <w:pStyle w:val="BodyText"/>
        <w:numPr>
          <w:ilvl w:val="1"/>
          <w:numId w:val="25"/>
        </w:numPr>
      </w:pPr>
      <w:r>
        <w:t xml:space="preserve">The code rate from channel coding (Polar or TBCC) perspective = 45/288=0.156. </w:t>
      </w:r>
    </w:p>
    <w:p w:rsidR="00427295" w:rsidRDefault="00427295" w:rsidP="00427295">
      <w:pPr>
        <w:pStyle w:val="BodyText"/>
        <w:numPr>
          <w:ilvl w:val="1"/>
          <w:numId w:val="25"/>
        </w:numPr>
      </w:pPr>
      <w:r>
        <w:t>The code rate from payload perspective = 29/288 = 0.101.</w:t>
      </w:r>
    </w:p>
    <w:p w:rsidR="00427295" w:rsidRDefault="00427295" w:rsidP="00427295">
      <w:pPr>
        <w:pStyle w:val="BodyText"/>
        <w:numPr>
          <w:ilvl w:val="0"/>
          <w:numId w:val="25"/>
        </w:numPr>
      </w:pPr>
      <w:r>
        <w:t>In Figure 2</w:t>
      </w:r>
      <w:proofErr w:type="gramStart"/>
      <w:r>
        <w:t xml:space="preserve">,  </w:t>
      </w:r>
      <w:proofErr w:type="spellStart"/>
      <w:r>
        <w:t>K</w:t>
      </w:r>
      <w:r w:rsidRPr="00B63607">
        <w:rPr>
          <w:vertAlign w:val="subscript"/>
        </w:rPr>
        <w:t>payload</w:t>
      </w:r>
      <w:proofErr w:type="spellEnd"/>
      <w:proofErr w:type="gramEnd"/>
      <w:r>
        <w:t xml:space="preserve"> = 29 bits, no CRC bits are attached before encoding. Input to encoder (Polar or TBCC) is K= </w:t>
      </w:r>
      <w:proofErr w:type="spellStart"/>
      <w:r>
        <w:t>K</w:t>
      </w:r>
      <w:r w:rsidRPr="00B63607">
        <w:rPr>
          <w:vertAlign w:val="subscript"/>
        </w:rPr>
        <w:t>payload</w:t>
      </w:r>
      <w:proofErr w:type="spellEnd"/>
      <w:r>
        <w:t xml:space="preserve"> = 29 bits. </w:t>
      </w:r>
    </w:p>
    <w:p w:rsidR="00427295" w:rsidRDefault="00427295" w:rsidP="00427295">
      <w:pPr>
        <w:pStyle w:val="BodyText"/>
        <w:numPr>
          <w:ilvl w:val="1"/>
          <w:numId w:val="25"/>
        </w:numPr>
      </w:pPr>
      <w:r>
        <w:t xml:space="preserve">The Code rate from channel coding (Polar or TBCC) perspective = </w:t>
      </w:r>
      <w:r w:rsidR="00285696">
        <w:t>t</w:t>
      </w:r>
      <w:r>
        <w:t>he code rate from payload perspective = 29/288 = 0.101.</w:t>
      </w:r>
    </w:p>
    <w:p w:rsidR="00285696" w:rsidRDefault="00285696" w:rsidP="00427295">
      <w:pPr>
        <w:pStyle w:val="BodyText"/>
      </w:pPr>
      <w:r>
        <w:t>Note that from payload perspective, with-CRC scheme of Figure 1 and no-CRC scheme of Figure 2 have the same code rate. This follows the agreed evaluation assumption:</w:t>
      </w:r>
    </w:p>
    <w:p w:rsidR="00285696" w:rsidRDefault="00285696" w:rsidP="00221EEE">
      <w:pPr>
        <w:pStyle w:val="BodyText"/>
        <w:ind w:left="1304"/>
      </w:pPr>
      <w:proofErr w:type="gramStart"/>
      <w:r>
        <w:rPr>
          <w:lang w:eastAsia="ja-JP"/>
        </w:rPr>
        <w:lastRenderedPageBreak/>
        <w:t>“S</w:t>
      </w:r>
      <w:r w:rsidRPr="00F7544D">
        <w:rPr>
          <w:lang w:eastAsia="ja-JP"/>
        </w:rPr>
        <w:t>imilar info</w:t>
      </w:r>
      <w:r>
        <w:rPr>
          <w:lang w:eastAsia="ja-JP"/>
        </w:rPr>
        <w:t>.</w:t>
      </w:r>
      <w:proofErr w:type="gramEnd"/>
      <w:r w:rsidRPr="00F7544D">
        <w:rPr>
          <w:lang w:eastAsia="ja-JP"/>
        </w:rPr>
        <w:t xml:space="preserve"> </w:t>
      </w:r>
      <w:proofErr w:type="gramStart"/>
      <w:r w:rsidRPr="00F7544D">
        <w:rPr>
          <w:lang w:eastAsia="ja-JP"/>
        </w:rPr>
        <w:t>and</w:t>
      </w:r>
      <w:proofErr w:type="gramEnd"/>
      <w:r w:rsidRPr="00F7544D">
        <w:rPr>
          <w:lang w:eastAsia="ja-JP"/>
        </w:rPr>
        <w:t xml:space="preserve"> encoded block lengths should be used for the evaluation. Total coded bits</w:t>
      </w:r>
      <w:r>
        <w:rPr>
          <w:lang w:eastAsia="ja-JP"/>
        </w:rPr>
        <w:t xml:space="preserve"> = info. </w:t>
      </w:r>
      <w:proofErr w:type="gramStart"/>
      <w:r>
        <w:rPr>
          <w:lang w:eastAsia="ja-JP"/>
        </w:rPr>
        <w:t>Block length/code rate,” where “</w:t>
      </w:r>
      <w:r>
        <w:rPr>
          <w:rFonts w:ascii="Nokia Pure Text" w:eastAsia="Nokia Pure Text" w:hAnsi="Nokia Pure Text" w:cs="Nokia Pure Text"/>
          <w:color w:val="000000"/>
          <w:kern w:val="24"/>
          <w:lang w:eastAsia="ko-KR"/>
        </w:rPr>
        <w:t>Info.</w:t>
      </w:r>
      <w:proofErr w:type="gramEnd"/>
      <w:r>
        <w:rPr>
          <w:rFonts w:ascii="Nokia Pure Text" w:eastAsia="Nokia Pure Text" w:hAnsi="Nokia Pure Text" w:cs="Nokia Pure Text"/>
          <w:color w:val="000000"/>
          <w:kern w:val="24"/>
          <w:lang w:eastAsia="ko-KR"/>
        </w:rPr>
        <w:t xml:space="preserve"> </w:t>
      </w:r>
      <w:proofErr w:type="gramStart"/>
      <w:r>
        <w:rPr>
          <w:rFonts w:ascii="Nokia Pure Text" w:eastAsia="Nokia Pure Text" w:hAnsi="Nokia Pure Text" w:cs="Nokia Pure Text"/>
          <w:color w:val="000000"/>
          <w:kern w:val="24"/>
          <w:lang w:eastAsia="ko-KR"/>
        </w:rPr>
        <w:t>block</w:t>
      </w:r>
      <w:proofErr w:type="gramEnd"/>
      <w:r>
        <w:rPr>
          <w:rFonts w:ascii="Nokia Pure Text" w:eastAsia="Nokia Pure Text" w:hAnsi="Nokia Pure Text" w:cs="Nokia Pure Text"/>
          <w:color w:val="000000"/>
          <w:kern w:val="24"/>
          <w:lang w:eastAsia="ko-KR"/>
        </w:rPr>
        <w:t xml:space="preserve"> length***</w:t>
      </w:r>
      <w:r w:rsidRPr="00F7544D">
        <w:rPr>
          <w:rFonts w:ascii="Nokia Pure Text" w:eastAsia="Nokia Pure Text" w:hAnsi="Nokia Pure Text" w:cs="Nokia Pure Text"/>
          <w:color w:val="000000"/>
          <w:kern w:val="24"/>
          <w:lang w:eastAsia="ko-KR"/>
        </w:rPr>
        <w:t xml:space="preserve"> (bits w/o CRC)</w:t>
      </w:r>
      <w:r>
        <w:rPr>
          <w:lang w:eastAsia="ja-JP"/>
        </w:rPr>
        <w:t>”</w:t>
      </w:r>
    </w:p>
    <w:p w:rsidR="00427295" w:rsidRDefault="00427295" w:rsidP="00427295">
      <w:pPr>
        <w:pStyle w:val="BodyText"/>
      </w:pPr>
      <w:r>
        <w:t xml:space="preserve">To compare the with-CRC and no-CRC schemes, curves in Figure 1 and Figure 2 are plotted together in Figure 3. </w:t>
      </w:r>
      <w:r w:rsidR="00AA502B">
        <w:t xml:space="preserve">As can be observed, the non-CRC cases have a performance advantage compared with the with-CRC cases, which comes from the higher redundancy per bit in the encoding process. </w:t>
      </w:r>
      <w:r>
        <w:t>Due to the higher channel coding rate</w:t>
      </w:r>
      <w:r w:rsidR="009B6824">
        <w:t xml:space="preserve"> from the perspective of TBCC and Polar codes</w:t>
      </w:r>
      <w:r>
        <w:t xml:space="preserve">, the with-CRC BLER curves in Figure 1 are </w:t>
      </w:r>
      <w:r w:rsidR="00043626">
        <w:t>up to</w:t>
      </w:r>
      <w:r>
        <w:t xml:space="preserve"> </w:t>
      </w:r>
      <w:r w:rsidR="00AA502B">
        <w:t xml:space="preserve">1 </w:t>
      </w:r>
      <w:r>
        <w:t>dB worse than the “no CRC” BLER curves in Figure 2</w:t>
      </w:r>
      <w:r w:rsidR="00043626">
        <w:t xml:space="preserve"> for both code types.</w:t>
      </w:r>
      <w:r w:rsidR="00976F4A">
        <w:t xml:space="preserve"> </w:t>
      </w:r>
      <w:r w:rsidR="00043626">
        <w:t xml:space="preserve">The actual loss depends </w:t>
      </w:r>
      <w:r w:rsidR="00976F4A">
        <w:t>on the code type</w:t>
      </w:r>
      <w:r w:rsidR="00AA502B">
        <w:t xml:space="preserve"> and BLER target</w:t>
      </w:r>
      <w:r>
        <w:t>. Figure 3 shows that for the simulated scenario, attaching CRC bits to assist with decod</w:t>
      </w:r>
      <w:r w:rsidR="007E5DD8">
        <w:t>ing</w:t>
      </w:r>
      <w:r>
        <w:t xml:space="preserve"> incurs a net loss of </w:t>
      </w:r>
      <w:r w:rsidR="007E5DD8">
        <w:t>up to 1</w:t>
      </w:r>
      <w:r>
        <w:t xml:space="preserve"> </w:t>
      </w:r>
      <w:proofErr w:type="spellStart"/>
      <w:r>
        <w:t>dB.</w:t>
      </w:r>
      <w:proofErr w:type="spellEnd"/>
    </w:p>
    <w:p w:rsidR="00427295" w:rsidRDefault="002A6D0F" w:rsidP="00427295">
      <w:pPr>
        <w:pStyle w:val="BodyText"/>
        <w:rPr>
          <w:noProof/>
        </w:rPr>
      </w:pPr>
      <w:r w:rsidRPr="002A6D0F">
        <w:rPr>
          <w:noProof/>
        </w:rPr>
        <w:t xml:space="preserve"> </w:t>
      </w:r>
    </w:p>
    <w:p w:rsidR="00067A94" w:rsidRDefault="00067A94" w:rsidP="0070568C">
      <w:pPr>
        <w:pStyle w:val="BodyText"/>
        <w:jc w:val="center"/>
      </w:pPr>
      <w:r w:rsidRPr="00067A94">
        <w:rPr>
          <w:noProof/>
          <w:lang w:eastAsia="zh-CN"/>
        </w:rPr>
        <w:drawing>
          <wp:inline distT="0" distB="0" distL="0" distR="0" wp14:anchorId="0A4C547E" wp14:editId="2D520FA9">
            <wp:extent cx="5334000" cy="37490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t="5656" b="627"/>
                    <a:stretch/>
                  </pic:blipFill>
                  <pic:spPr bwMode="auto">
                    <a:xfrm>
                      <a:off x="0" y="0"/>
                      <a:ext cx="5334000" cy="3749040"/>
                    </a:xfrm>
                    <a:prstGeom prst="rect">
                      <a:avLst/>
                    </a:prstGeom>
                    <a:ln>
                      <a:noFill/>
                    </a:ln>
                    <a:extLst>
                      <a:ext uri="{53640926-AAD7-44D8-BBD7-CCE9431645EC}">
                        <a14:shadowObscured xmlns:a14="http://schemas.microsoft.com/office/drawing/2010/main"/>
                      </a:ext>
                    </a:extLst>
                  </pic:spPr>
                </pic:pic>
              </a:graphicData>
            </a:graphic>
          </wp:inline>
        </w:drawing>
      </w:r>
    </w:p>
    <w:p w:rsidR="00427295" w:rsidRDefault="00427295" w:rsidP="00427295">
      <w:pPr>
        <w:pStyle w:val="BodyText"/>
      </w:pPr>
      <w:proofErr w:type="gramStart"/>
      <w:r>
        <w:t>Figure 3.</w:t>
      </w:r>
      <w:proofErr w:type="gramEnd"/>
      <w:r>
        <w:t xml:space="preserve"> Comparison of “</w:t>
      </w:r>
      <w:r w:rsidR="007E5DD8">
        <w:t xml:space="preserve">with </w:t>
      </w:r>
      <w:r>
        <w:t>CRC” and “no CRC” results with both Polar code and TBCC. Curve</w:t>
      </w:r>
      <w:r w:rsidR="007E5DD8">
        <w:t xml:space="preserve">s are duplicated from </w:t>
      </w:r>
      <w:r>
        <w:t>Figure 1 and Figure 2.</w:t>
      </w:r>
    </w:p>
    <w:p w:rsidR="000B0D21" w:rsidRDefault="000B0D21" w:rsidP="00A81F90">
      <w:pPr>
        <w:pStyle w:val="BodyText"/>
      </w:pPr>
    </w:p>
    <w:p w:rsidR="0064511D" w:rsidRDefault="00037F1D" w:rsidP="00A81F90">
      <w:pPr>
        <w:pStyle w:val="BodyText"/>
      </w:pPr>
      <w:r>
        <w:t xml:space="preserve">Based on the </w:t>
      </w:r>
      <w:r w:rsidR="00976F4A">
        <w:t xml:space="preserve">simulation </w:t>
      </w:r>
      <w:r>
        <w:t>result</w:t>
      </w:r>
      <w:r w:rsidR="00976F4A">
        <w:t>s</w:t>
      </w:r>
      <w:r>
        <w:t xml:space="preserve">, we </w:t>
      </w:r>
      <w:r w:rsidR="00976F4A">
        <w:t>have</w:t>
      </w:r>
      <w:r>
        <w:t xml:space="preserve"> the following proposal</w:t>
      </w:r>
      <w:r w:rsidR="00880871">
        <w:t>s</w:t>
      </w:r>
      <w:r>
        <w:t>.</w:t>
      </w:r>
    </w:p>
    <w:p w:rsidR="00757B8D" w:rsidRPr="00A73DBF" w:rsidRDefault="007079B8" w:rsidP="00A73DBF">
      <w:pPr>
        <w:pStyle w:val="Proposal"/>
        <w:numPr>
          <w:ilvl w:val="0"/>
          <w:numId w:val="31"/>
        </w:numPr>
      </w:pPr>
      <w:r>
        <w:rPr>
          <w:lang w:val="en-US"/>
        </w:rPr>
        <w:t>For error correction coding of control channel, LTE tail-biting convolutional codes</w:t>
      </w:r>
      <w:r w:rsidR="00697BE6">
        <w:rPr>
          <w:lang w:val="en-US"/>
        </w:rPr>
        <w:t xml:space="preserve"> (with potential enhancements)</w:t>
      </w:r>
      <w:r>
        <w:rPr>
          <w:lang w:val="en-US"/>
        </w:rPr>
        <w:t xml:space="preserve"> should be reused.</w:t>
      </w:r>
    </w:p>
    <w:p w:rsidR="007079B8" w:rsidRPr="00A73DBF" w:rsidRDefault="007079B8" w:rsidP="00A73DBF">
      <w:pPr>
        <w:pStyle w:val="Proposal"/>
        <w:numPr>
          <w:ilvl w:val="0"/>
          <w:numId w:val="31"/>
        </w:numPr>
      </w:pPr>
      <w:r>
        <w:rPr>
          <w:lang w:val="en-US"/>
        </w:rPr>
        <w:t>For error correction coding of control channel, no CRC bits should be introduced for the purpose of assisting with channel decoder.</w:t>
      </w:r>
    </w:p>
    <w:p w:rsidR="00CB6744" w:rsidRDefault="00CB6744" w:rsidP="00CB6744">
      <w:pPr>
        <w:pStyle w:val="Heading2"/>
      </w:pPr>
      <w:r>
        <w:t xml:space="preserve">TBCC vs. Polar Code for </w:t>
      </w:r>
      <w:r w:rsidR="00192C96">
        <w:t>Short Block Lengths</w:t>
      </w:r>
    </w:p>
    <w:p w:rsidR="00EA04F2" w:rsidRDefault="00B130D5" w:rsidP="00EA04F2">
      <w:pPr>
        <w:pStyle w:val="BodyText"/>
      </w:pPr>
      <w:r>
        <w:t>In this section, w</w:t>
      </w:r>
      <w:r w:rsidR="00192C96">
        <w:t>e compare the performance of TBCC vs. Polar Code</w:t>
      </w:r>
      <w:r w:rsidR="00400005">
        <w:t xml:space="preserve"> both with </w:t>
      </w:r>
      <w:r w:rsidR="00192C96">
        <w:t>list decoding</w:t>
      </w:r>
      <w:r w:rsidR="00042014">
        <w:t xml:space="preserve"> and 16-bit CRC</w:t>
      </w:r>
      <w:r w:rsidR="00192C96">
        <w:t xml:space="preserve"> </w:t>
      </w:r>
      <w:r w:rsidR="00400005">
        <w:t>for short information block size as agreed in the RAN</w:t>
      </w:r>
      <w:r>
        <w:t>1#84bis</w:t>
      </w:r>
      <w:r w:rsidR="00400005">
        <w:t xml:space="preserve"> meeting</w:t>
      </w:r>
      <w:r w:rsidR="00192C96">
        <w:t>.</w:t>
      </w:r>
      <w:r w:rsidR="00400005">
        <w:t xml:space="preserve"> In particular, we consider the information sizes K= 20, 40, 200, 600, 1000</w:t>
      </w:r>
      <w:r w:rsidR="007E5DD8">
        <w:t xml:space="preserve"> (bits)</w:t>
      </w:r>
      <w:r w:rsidR="00400005">
        <w:t xml:space="preserve">, for </w:t>
      </w:r>
      <w:r w:rsidR="009A4B19">
        <w:t xml:space="preserve">code </w:t>
      </w:r>
      <w:r w:rsidR="00400005">
        <w:t>rate R=1/3. F</w:t>
      </w:r>
      <w:r w:rsidR="0028582B">
        <w:t xml:space="preserve">rom Figure </w:t>
      </w:r>
      <w:r w:rsidR="00757B8D">
        <w:t>4</w:t>
      </w:r>
      <w:r w:rsidR="0028582B">
        <w:t>, w</w:t>
      </w:r>
      <w:r w:rsidR="003F357B">
        <w:t>e</w:t>
      </w:r>
      <w:r w:rsidR="0028582B">
        <w:t xml:space="preserve"> observe that f</w:t>
      </w:r>
      <w:r w:rsidR="00400005">
        <w:t xml:space="preserve">or the same list </w:t>
      </w:r>
      <w:r>
        <w:t xml:space="preserve">size </w:t>
      </w:r>
      <w:r w:rsidR="007E5DD8">
        <w:t>and comparable</w:t>
      </w:r>
      <w:r w:rsidR="00400005">
        <w:t xml:space="preserve"> decoder</w:t>
      </w:r>
      <w:r w:rsidR="007E5DD8">
        <w:t xml:space="preserve"> type</w:t>
      </w:r>
      <w:r w:rsidR="00400005">
        <w:t>, the two codes have similar performance.</w:t>
      </w:r>
      <w:r w:rsidR="00D24640">
        <w:t xml:space="preserve"> </w:t>
      </w:r>
      <w:r w:rsidR="00BB4FF1">
        <w:t>Based on these performance results</w:t>
      </w:r>
      <w:r w:rsidR="007E5DD8">
        <w:t xml:space="preserve"> and other considerations [2],</w:t>
      </w:r>
      <w:r w:rsidR="00BB4FF1">
        <w:t xml:space="preserve"> w</w:t>
      </w:r>
      <w:r w:rsidR="00042014">
        <w:t xml:space="preserve">e make the following proposal: </w:t>
      </w:r>
    </w:p>
    <w:p w:rsidR="00757B8D" w:rsidRPr="00002B72" w:rsidRDefault="00757B8D" w:rsidP="00A73DBF">
      <w:pPr>
        <w:pStyle w:val="Proposal"/>
        <w:numPr>
          <w:ilvl w:val="0"/>
          <w:numId w:val="31"/>
        </w:numPr>
        <w:rPr>
          <w:lang w:val="en-US"/>
        </w:rPr>
      </w:pPr>
      <w:r>
        <w:rPr>
          <w:lang w:val="en-US"/>
        </w:rPr>
        <w:t>For data channel of short information block lengths, LTE tail-biting convolutional codes are preferred over Polar codes.</w:t>
      </w:r>
    </w:p>
    <w:p w:rsidR="00757B8D" w:rsidRDefault="00757B8D" w:rsidP="00EA04F2">
      <w:pPr>
        <w:pStyle w:val="BodyText"/>
      </w:pPr>
    </w:p>
    <w:p w:rsidR="007F3441" w:rsidRDefault="006A54FE" w:rsidP="0070568C">
      <w:pPr>
        <w:pStyle w:val="BodyText"/>
        <w:jc w:val="center"/>
      </w:pPr>
      <w:r w:rsidRPr="006A54FE">
        <w:rPr>
          <w:noProof/>
          <w:lang w:eastAsia="zh-CN"/>
        </w:rPr>
        <w:lastRenderedPageBreak/>
        <w:drawing>
          <wp:inline distT="0" distB="0" distL="0" distR="0" wp14:anchorId="01666102" wp14:editId="4FA42839">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334000" cy="4000500"/>
                    </a:xfrm>
                    <a:prstGeom prst="rect">
                      <a:avLst/>
                    </a:prstGeom>
                  </pic:spPr>
                </pic:pic>
              </a:graphicData>
            </a:graphic>
          </wp:inline>
        </w:drawing>
      </w:r>
    </w:p>
    <w:p w:rsidR="0028582B" w:rsidRDefault="0028582B" w:rsidP="0028582B">
      <w:pPr>
        <w:pStyle w:val="BodyText"/>
      </w:pPr>
      <w:proofErr w:type="gramStart"/>
      <w:r>
        <w:t xml:space="preserve">Figure </w:t>
      </w:r>
      <w:r w:rsidR="00757B8D">
        <w:t>4</w:t>
      </w:r>
      <w:r>
        <w:t>.</w:t>
      </w:r>
      <w:proofErr w:type="gramEnd"/>
      <w:r>
        <w:t xml:space="preserve"> TBCC vs. Polar Code comparison </w:t>
      </w:r>
      <w:r w:rsidR="007E5DD8">
        <w:t xml:space="preserve">for </w:t>
      </w:r>
      <w:r>
        <w:t xml:space="preserve">short </w:t>
      </w:r>
      <w:r w:rsidR="009A4B19">
        <w:t xml:space="preserve">info </w:t>
      </w:r>
      <w:r>
        <w:t>block</w:t>
      </w:r>
      <w:r w:rsidR="007E5DD8">
        <w:t xml:space="preserve"> </w:t>
      </w:r>
      <w:r>
        <w:t>lengths. Code rate is R=</w:t>
      </w:r>
      <w:r w:rsidR="00C1607C">
        <w:t>1</w:t>
      </w:r>
      <w:r>
        <w:t xml:space="preserve">/3. Information </w:t>
      </w:r>
      <w:r w:rsidR="009A4B19">
        <w:t xml:space="preserve">block </w:t>
      </w:r>
      <w:r>
        <w:t xml:space="preserve">sizes of K=20, 40, 200, 600, 1000 </w:t>
      </w:r>
      <w:r w:rsidR="007E5DD8">
        <w:t xml:space="preserve">(bits) </w:t>
      </w:r>
      <w:r>
        <w:t>are shown.16-bit CRC is used</w:t>
      </w:r>
      <w:r w:rsidR="007E5DD8">
        <w:t xml:space="preserve"> to assist with decoding</w:t>
      </w:r>
      <w:r>
        <w:t xml:space="preserve">. TBCC uses list-Viterbi decoder of list size </w:t>
      </w:r>
      <w:r w:rsidR="007E5DD8">
        <w:t>L=</w:t>
      </w:r>
      <w:r>
        <w:t xml:space="preserve">32. Polar code uses SC list decoder of </w:t>
      </w:r>
      <w:r w:rsidR="007E5DD8">
        <w:t xml:space="preserve">list </w:t>
      </w:r>
      <w:r>
        <w:t xml:space="preserve">size </w:t>
      </w:r>
      <w:r w:rsidR="007E5DD8">
        <w:t>L=</w:t>
      </w:r>
      <w:r>
        <w:t>32.</w:t>
      </w:r>
    </w:p>
    <w:p w:rsidR="00567BA9" w:rsidRDefault="00567BA9" w:rsidP="00FE5799">
      <w:pPr>
        <w:pStyle w:val="Heading1"/>
      </w:pPr>
      <w:r>
        <w:t xml:space="preserve">Potential </w:t>
      </w:r>
      <w:r w:rsidR="009A4B19">
        <w:t>E</w:t>
      </w:r>
      <w:r>
        <w:t>nhancements for TBCC</w:t>
      </w:r>
    </w:p>
    <w:p w:rsidR="0023189F" w:rsidRDefault="00BD2FB9" w:rsidP="0070568C">
      <w:pPr>
        <w:pStyle w:val="BodyText"/>
        <w:rPr>
          <w:sz w:val="22"/>
          <w:szCs w:val="22"/>
        </w:rPr>
      </w:pPr>
      <w:r w:rsidRPr="0070568C">
        <w:rPr>
          <w:sz w:val="22"/>
          <w:szCs w:val="22"/>
        </w:rPr>
        <w:t xml:space="preserve">To support low code rate applications, enhancements to improve TBCC performance can be further considered. </w:t>
      </w:r>
      <w:proofErr w:type="gramStart"/>
      <w:r w:rsidR="00DA3980">
        <w:rPr>
          <w:sz w:val="22"/>
          <w:szCs w:val="22"/>
        </w:rPr>
        <w:t xml:space="preserve">This includes introducing a TBCC with larger constraint length </w:t>
      </w:r>
      <w:r w:rsidR="0023189F">
        <w:rPr>
          <w:sz w:val="22"/>
          <w:szCs w:val="22"/>
        </w:rPr>
        <w:t xml:space="preserve">to </w:t>
      </w:r>
      <w:r w:rsidR="006E3CAD">
        <w:rPr>
          <w:sz w:val="22"/>
          <w:szCs w:val="22"/>
        </w:rPr>
        <w:t>longer</w:t>
      </w:r>
      <w:r w:rsidR="0023189F">
        <w:rPr>
          <w:sz w:val="22"/>
          <w:szCs w:val="22"/>
        </w:rPr>
        <w:t xml:space="preserve"> than 7, </w:t>
      </w:r>
      <w:r w:rsidR="00DA3980">
        <w:rPr>
          <w:sz w:val="22"/>
          <w:szCs w:val="22"/>
        </w:rPr>
        <w:t>and/or lower</w:t>
      </w:r>
      <w:proofErr w:type="gramEnd"/>
      <w:r w:rsidR="00DA3980">
        <w:rPr>
          <w:sz w:val="22"/>
          <w:szCs w:val="22"/>
        </w:rPr>
        <w:t xml:space="preserve"> the coding rate</w:t>
      </w:r>
      <w:r w:rsidR="0023189F">
        <w:rPr>
          <w:sz w:val="22"/>
          <w:szCs w:val="22"/>
        </w:rPr>
        <w:t xml:space="preserve"> to less than 1/3.</w:t>
      </w:r>
    </w:p>
    <w:p w:rsidR="00567BA9" w:rsidRDefault="00DA3980" w:rsidP="0070568C">
      <w:pPr>
        <w:pStyle w:val="BodyText"/>
        <w:rPr>
          <w:sz w:val="22"/>
          <w:szCs w:val="22"/>
        </w:rPr>
      </w:pPr>
      <w:r>
        <w:rPr>
          <w:sz w:val="22"/>
          <w:szCs w:val="22"/>
        </w:rPr>
        <w:t xml:space="preserve">One enhancement to consider is to lower the code rate by adding new parity bits. </w:t>
      </w:r>
      <w:r w:rsidR="00BD2FB9">
        <w:rPr>
          <w:sz w:val="22"/>
          <w:szCs w:val="22"/>
        </w:rPr>
        <w:t>The LTE TBCC already has a nested polynomial structure:</w:t>
      </w:r>
    </w:p>
    <w:p w:rsidR="00CF45BB" w:rsidRPr="00BD2FB9" w:rsidRDefault="001561F0" w:rsidP="00BD2FB9">
      <w:pPr>
        <w:pStyle w:val="BodyText"/>
        <w:numPr>
          <w:ilvl w:val="0"/>
          <w:numId w:val="34"/>
        </w:numPr>
        <w:rPr>
          <w:sz w:val="22"/>
          <w:szCs w:val="22"/>
        </w:rPr>
      </w:pPr>
      <w:r w:rsidRPr="00BD2FB9">
        <w:rPr>
          <w:sz w:val="22"/>
          <w:szCs w:val="22"/>
        </w:rPr>
        <w:t xml:space="preserve">Optimal rate 1/2 code </w:t>
      </w:r>
      <w:r w:rsidR="00DA3980">
        <w:rPr>
          <w:sz w:val="22"/>
          <w:szCs w:val="22"/>
        </w:rPr>
        <w:t>has generator polynomial</w:t>
      </w:r>
      <w:r w:rsidRPr="00BD2FB9">
        <w:rPr>
          <w:sz w:val="22"/>
          <w:szCs w:val="22"/>
        </w:rPr>
        <w:t xml:space="preserve"> [133, 171]</w:t>
      </w:r>
    </w:p>
    <w:p w:rsidR="00CF45BB" w:rsidRPr="00BD2FB9" w:rsidRDefault="001561F0" w:rsidP="00BD2FB9">
      <w:pPr>
        <w:pStyle w:val="BodyText"/>
        <w:numPr>
          <w:ilvl w:val="0"/>
          <w:numId w:val="34"/>
        </w:numPr>
        <w:rPr>
          <w:sz w:val="22"/>
          <w:szCs w:val="22"/>
        </w:rPr>
      </w:pPr>
      <w:r w:rsidRPr="00BD2FB9">
        <w:rPr>
          <w:sz w:val="22"/>
          <w:szCs w:val="22"/>
        </w:rPr>
        <w:t xml:space="preserve">Optimal rate 1/3 code </w:t>
      </w:r>
      <w:r w:rsidR="00DA3980">
        <w:rPr>
          <w:sz w:val="22"/>
          <w:szCs w:val="22"/>
        </w:rPr>
        <w:t>has generator polynomial</w:t>
      </w:r>
      <w:r w:rsidRPr="00BD2FB9">
        <w:rPr>
          <w:sz w:val="22"/>
          <w:szCs w:val="22"/>
        </w:rPr>
        <w:t xml:space="preserve"> [133, 171, 165]</w:t>
      </w:r>
    </w:p>
    <w:p w:rsidR="00BD2FB9" w:rsidRDefault="00BD2FB9" w:rsidP="0070568C">
      <w:pPr>
        <w:pStyle w:val="BodyText"/>
        <w:rPr>
          <w:sz w:val="22"/>
          <w:szCs w:val="22"/>
        </w:rPr>
      </w:pPr>
      <w:r>
        <w:rPr>
          <w:sz w:val="22"/>
          <w:szCs w:val="22"/>
        </w:rPr>
        <w:t xml:space="preserve">The rate matching is designed to automatically switch between these two optimal codes. It will be </w:t>
      </w:r>
      <w:proofErr w:type="gramStart"/>
      <w:r>
        <w:rPr>
          <w:sz w:val="22"/>
          <w:szCs w:val="22"/>
        </w:rPr>
        <w:t>of</w:t>
      </w:r>
      <w:proofErr w:type="gramEnd"/>
      <w:r>
        <w:rPr>
          <w:sz w:val="22"/>
          <w:szCs w:val="22"/>
        </w:rPr>
        <w:t xml:space="preserve"> practical benefits to extend such nested polynomial structure to </w:t>
      </w:r>
      <w:r w:rsidR="0023189F">
        <w:rPr>
          <w:sz w:val="22"/>
          <w:szCs w:val="22"/>
        </w:rPr>
        <w:t xml:space="preserve">a mother code </w:t>
      </w:r>
      <w:r>
        <w:rPr>
          <w:sz w:val="22"/>
          <w:szCs w:val="22"/>
        </w:rPr>
        <w:t xml:space="preserve">rate lower than 1/3. </w:t>
      </w:r>
      <w:r w:rsidR="0023189F">
        <w:rPr>
          <w:sz w:val="22"/>
          <w:szCs w:val="22"/>
        </w:rPr>
        <w:t xml:space="preserve">Correspondingly, the rate matching algorithm can be easily extended to </w:t>
      </w:r>
      <w:r w:rsidR="00324F5A">
        <w:rPr>
          <w:sz w:val="22"/>
          <w:szCs w:val="22"/>
        </w:rPr>
        <w:t>provide codes of successively higher code rate</w:t>
      </w:r>
      <w:r w:rsidR="0023189F">
        <w:rPr>
          <w:sz w:val="22"/>
          <w:szCs w:val="22"/>
        </w:rPr>
        <w:t xml:space="preserve">, for instance, rate 1/6 </w:t>
      </w:r>
      <w:r w:rsidR="0023189F">
        <w:rPr>
          <w:sz w:val="22"/>
          <w:szCs w:val="22"/>
        </w:rPr>
        <w:sym w:font="Symbol" w:char="F0AE"/>
      </w:r>
      <w:r w:rsidR="0023189F">
        <w:rPr>
          <w:sz w:val="22"/>
          <w:szCs w:val="22"/>
        </w:rPr>
        <w:t xml:space="preserve">1/5 </w:t>
      </w:r>
      <w:r w:rsidR="0023189F">
        <w:rPr>
          <w:sz w:val="22"/>
          <w:szCs w:val="22"/>
        </w:rPr>
        <w:sym w:font="Symbol" w:char="F0AE"/>
      </w:r>
      <w:r w:rsidR="0023189F">
        <w:rPr>
          <w:sz w:val="22"/>
          <w:szCs w:val="22"/>
        </w:rPr>
        <w:t xml:space="preserve">1/4 </w:t>
      </w:r>
      <w:r w:rsidR="0023189F">
        <w:rPr>
          <w:sz w:val="22"/>
          <w:szCs w:val="22"/>
        </w:rPr>
        <w:sym w:font="Symbol" w:char="F0AE"/>
      </w:r>
      <w:r w:rsidR="0023189F">
        <w:rPr>
          <w:sz w:val="22"/>
          <w:szCs w:val="22"/>
        </w:rPr>
        <w:t xml:space="preserve">1/3 </w:t>
      </w:r>
      <w:r w:rsidR="0023189F">
        <w:rPr>
          <w:sz w:val="22"/>
          <w:szCs w:val="22"/>
        </w:rPr>
        <w:sym w:font="Symbol" w:char="F0AE"/>
      </w:r>
      <w:r w:rsidR="0023189F">
        <w:rPr>
          <w:sz w:val="22"/>
          <w:szCs w:val="22"/>
        </w:rPr>
        <w:t xml:space="preserve">1/2. </w:t>
      </w:r>
      <w:r>
        <w:rPr>
          <w:sz w:val="22"/>
          <w:szCs w:val="22"/>
        </w:rPr>
        <w:t xml:space="preserve">We performed a search of such optimal nested code based on the distance spectrum terms from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f</m:t>
            </m:r>
          </m:sub>
        </m:sSub>
      </m:oMath>
      <w:r>
        <w:rPr>
          <w:sz w:val="22"/>
          <w:szCs w:val="22"/>
        </w:rPr>
        <w:t xml:space="preserve"> up </w:t>
      </w:r>
      <w:proofErr w:type="gramStart"/>
      <w:r>
        <w:rPr>
          <w:sz w:val="22"/>
          <w:szCs w:val="22"/>
        </w:rPr>
        <w:t xml:space="preserve">to </w:t>
      </w:r>
      <w:proofErr w:type="gramEnd"/>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f+29</m:t>
            </m:r>
          </m:sub>
        </m:sSub>
      </m:oMath>
      <w:r>
        <w:rPr>
          <w:sz w:val="22"/>
          <w:szCs w:val="22"/>
        </w:rPr>
        <w:t xml:space="preserve">. The results are given in </w:t>
      </w:r>
      <w:r>
        <w:rPr>
          <w:sz w:val="22"/>
          <w:szCs w:val="22"/>
        </w:rPr>
        <w:fldChar w:fldCharType="begin"/>
      </w:r>
      <w:r>
        <w:rPr>
          <w:sz w:val="22"/>
          <w:szCs w:val="22"/>
        </w:rPr>
        <w:instrText xml:space="preserve"> REF _Ref450923204 \h </w:instrText>
      </w:r>
      <w:r>
        <w:rPr>
          <w:sz w:val="22"/>
          <w:szCs w:val="22"/>
        </w:rPr>
      </w:r>
      <w:r>
        <w:rPr>
          <w:sz w:val="22"/>
          <w:szCs w:val="22"/>
        </w:rPr>
        <w:fldChar w:fldCharType="separate"/>
      </w:r>
      <w:r w:rsidRPr="0070568C">
        <w:rPr>
          <w:sz w:val="22"/>
          <w:szCs w:val="22"/>
        </w:rPr>
        <w:t xml:space="preserve">Table </w:t>
      </w:r>
      <w:r w:rsidRPr="0070568C">
        <w:rPr>
          <w:noProof/>
          <w:sz w:val="22"/>
          <w:szCs w:val="22"/>
        </w:rPr>
        <w:t>1</w:t>
      </w:r>
      <w:r>
        <w:rPr>
          <w:sz w:val="22"/>
          <w:szCs w:val="22"/>
        </w:rPr>
        <w:fldChar w:fldCharType="end"/>
      </w:r>
      <w:r>
        <w:rPr>
          <w:sz w:val="22"/>
          <w:szCs w:val="22"/>
        </w:rPr>
        <w:t>.</w:t>
      </w:r>
      <w:r w:rsidR="00C412CA">
        <w:rPr>
          <w:sz w:val="22"/>
          <w:szCs w:val="22"/>
        </w:rPr>
        <w:t xml:space="preserve"> For instance, a rate 1/6 TBCC is given by </w:t>
      </w:r>
      <w:r w:rsidR="00DA3980">
        <w:rPr>
          <w:sz w:val="22"/>
          <w:szCs w:val="22"/>
        </w:rPr>
        <w:t xml:space="preserve">generator polynomial </w:t>
      </w:r>
      <w:r w:rsidR="00C412CA">
        <w:rPr>
          <w:sz w:val="22"/>
          <w:szCs w:val="22"/>
        </w:rPr>
        <w:t xml:space="preserve">[133, 171, 165, 117, 135, </w:t>
      </w:r>
      <w:proofErr w:type="gramStart"/>
      <w:r w:rsidR="00C412CA">
        <w:rPr>
          <w:sz w:val="22"/>
          <w:szCs w:val="22"/>
        </w:rPr>
        <w:t>157</w:t>
      </w:r>
      <w:proofErr w:type="gramEnd"/>
      <w:r w:rsidR="00C412CA">
        <w:rPr>
          <w:sz w:val="22"/>
          <w:szCs w:val="22"/>
        </w:rPr>
        <w:t>].</w:t>
      </w:r>
    </w:p>
    <w:p w:rsidR="00C1607C" w:rsidRDefault="00C1607C" w:rsidP="0070568C">
      <w:pPr>
        <w:pStyle w:val="BodyText"/>
        <w:rPr>
          <w:sz w:val="22"/>
          <w:szCs w:val="22"/>
        </w:rPr>
      </w:pPr>
      <w:r>
        <w:rPr>
          <w:sz w:val="22"/>
          <w:szCs w:val="22"/>
        </w:rPr>
        <w:t xml:space="preserve">A comparison of the TBCC-CRC based on the </w:t>
      </w:r>
      <w:r w:rsidR="0023189F">
        <w:rPr>
          <w:sz w:val="22"/>
          <w:szCs w:val="22"/>
        </w:rPr>
        <w:t xml:space="preserve">existing </w:t>
      </w:r>
      <w:r>
        <w:rPr>
          <w:sz w:val="22"/>
          <w:szCs w:val="22"/>
        </w:rPr>
        <w:t>LTE rate 1/3 code</w:t>
      </w:r>
      <w:r w:rsidR="00DA3980">
        <w:rPr>
          <w:sz w:val="22"/>
          <w:szCs w:val="22"/>
        </w:rPr>
        <w:t xml:space="preserve"> </w:t>
      </w:r>
      <w:r>
        <w:rPr>
          <w:sz w:val="22"/>
          <w:szCs w:val="22"/>
        </w:rPr>
        <w:t xml:space="preserve">or the proposed rate 1/6 code is provided in </w:t>
      </w:r>
      <w:r w:rsidR="00922EC9">
        <w:rPr>
          <w:sz w:val="22"/>
          <w:szCs w:val="22"/>
        </w:rPr>
        <w:t>Figure 5</w:t>
      </w:r>
      <w:r>
        <w:rPr>
          <w:sz w:val="22"/>
          <w:szCs w:val="22"/>
        </w:rPr>
        <w:t>.</w:t>
      </w:r>
      <w:r w:rsidR="00E817BF">
        <w:rPr>
          <w:sz w:val="22"/>
          <w:szCs w:val="22"/>
        </w:rPr>
        <w:t xml:space="preserve"> </w:t>
      </w:r>
      <w:r w:rsidR="005F6530">
        <w:rPr>
          <w:sz w:val="22"/>
          <w:szCs w:val="22"/>
        </w:rPr>
        <w:t xml:space="preserve">The simulation assumptions of Figure 5 are the same as the TBCC in Figure 1. </w:t>
      </w:r>
      <w:r w:rsidR="00E7477C">
        <w:rPr>
          <w:sz w:val="22"/>
          <w:szCs w:val="22"/>
        </w:rPr>
        <w:t xml:space="preserve">While the TBCC in Figure 1 uses repetition to obtain N=288 code bits, coding gain is achieved in Figure 5 via the lower mother code rate. </w:t>
      </w:r>
      <w:r w:rsidR="00E817BF">
        <w:rPr>
          <w:sz w:val="22"/>
          <w:szCs w:val="22"/>
        </w:rPr>
        <w:t>It can be observed</w:t>
      </w:r>
      <w:r w:rsidR="00E7477C">
        <w:rPr>
          <w:sz w:val="22"/>
          <w:szCs w:val="22"/>
        </w:rPr>
        <w:t xml:space="preserve"> from Figure 5</w:t>
      </w:r>
      <w:r w:rsidR="00E817BF">
        <w:rPr>
          <w:sz w:val="22"/>
          <w:szCs w:val="22"/>
        </w:rPr>
        <w:t xml:space="preserve"> that the lower rate mother code can be used to improve performance or to reduce the list size in list decoding.</w:t>
      </w:r>
      <w:r w:rsidR="005F6530">
        <w:rPr>
          <w:sz w:val="22"/>
          <w:szCs w:val="22"/>
        </w:rPr>
        <w:t xml:space="preserve"> </w:t>
      </w:r>
    </w:p>
    <w:p w:rsidR="001C2717" w:rsidRDefault="001C2717" w:rsidP="0070568C">
      <w:pPr>
        <w:pStyle w:val="BodyText"/>
        <w:rPr>
          <w:sz w:val="22"/>
          <w:szCs w:val="22"/>
        </w:rPr>
      </w:pPr>
    </w:p>
    <w:p w:rsidR="001C2717" w:rsidRPr="00002B72" w:rsidRDefault="001C2717" w:rsidP="001C2717">
      <w:pPr>
        <w:pStyle w:val="Proposal"/>
        <w:numPr>
          <w:ilvl w:val="0"/>
          <w:numId w:val="31"/>
        </w:numPr>
        <w:rPr>
          <w:lang w:val="en-US"/>
        </w:rPr>
      </w:pPr>
      <w:r>
        <w:rPr>
          <w:lang w:val="en-US"/>
        </w:rPr>
        <w:lastRenderedPageBreak/>
        <w:t xml:space="preserve">For </w:t>
      </w:r>
      <w:r w:rsidRPr="00D33AF3">
        <w:rPr>
          <w:sz w:val="22"/>
          <w:szCs w:val="22"/>
        </w:rPr>
        <w:t>low code rate applications, enhancements to TBCC</w:t>
      </w:r>
      <w:r>
        <w:rPr>
          <w:sz w:val="22"/>
          <w:szCs w:val="22"/>
        </w:rPr>
        <w:t xml:space="preserve"> with nested low rate polynomials can be considered</w:t>
      </w:r>
      <w:r>
        <w:rPr>
          <w:lang w:val="en-US"/>
        </w:rPr>
        <w:t>.</w:t>
      </w:r>
    </w:p>
    <w:p w:rsidR="001C2717" w:rsidRDefault="001C2717" w:rsidP="0070568C">
      <w:pPr>
        <w:pStyle w:val="BodyText"/>
      </w:pPr>
    </w:p>
    <w:p w:rsidR="00BD2FB9" w:rsidRPr="0070568C" w:rsidRDefault="00BD2FB9" w:rsidP="0070568C">
      <w:pPr>
        <w:pStyle w:val="Caption"/>
        <w:jc w:val="center"/>
        <w:rPr>
          <w:sz w:val="22"/>
          <w:szCs w:val="22"/>
        </w:rPr>
      </w:pPr>
      <w:bookmarkStart w:id="4" w:name="_Ref450923204"/>
      <w:r w:rsidRPr="0070568C">
        <w:rPr>
          <w:color w:val="auto"/>
          <w:sz w:val="22"/>
          <w:szCs w:val="22"/>
        </w:rPr>
        <w:t xml:space="preserve">Table </w:t>
      </w:r>
      <w:r w:rsidRPr="0070568C">
        <w:rPr>
          <w:color w:val="auto"/>
          <w:sz w:val="22"/>
          <w:szCs w:val="22"/>
        </w:rPr>
        <w:fldChar w:fldCharType="begin"/>
      </w:r>
      <w:r w:rsidRPr="0070568C">
        <w:rPr>
          <w:color w:val="auto"/>
          <w:sz w:val="22"/>
          <w:szCs w:val="22"/>
        </w:rPr>
        <w:instrText xml:space="preserve"> SEQ Table \* ARABIC </w:instrText>
      </w:r>
      <w:r w:rsidRPr="0070568C">
        <w:rPr>
          <w:color w:val="auto"/>
          <w:sz w:val="22"/>
          <w:szCs w:val="22"/>
        </w:rPr>
        <w:fldChar w:fldCharType="separate"/>
      </w:r>
      <w:r w:rsidRPr="0070568C">
        <w:rPr>
          <w:noProof/>
          <w:color w:val="auto"/>
          <w:sz w:val="22"/>
          <w:szCs w:val="22"/>
        </w:rPr>
        <w:t>1</w:t>
      </w:r>
      <w:r w:rsidRPr="0070568C">
        <w:rPr>
          <w:color w:val="auto"/>
          <w:sz w:val="22"/>
          <w:szCs w:val="22"/>
        </w:rPr>
        <w:fldChar w:fldCharType="end"/>
      </w:r>
      <w:bookmarkEnd w:id="4"/>
      <w:r>
        <w:rPr>
          <w:color w:val="auto"/>
          <w:sz w:val="22"/>
          <w:szCs w:val="22"/>
        </w:rPr>
        <w:t xml:space="preserve"> Nested polynomials for low rate TBCC</w:t>
      </w:r>
    </w:p>
    <w:tbl>
      <w:tblPr>
        <w:tblStyle w:val="TableGrid"/>
        <w:tblW w:w="0" w:type="auto"/>
        <w:tblInd w:w="2358" w:type="dxa"/>
        <w:tblLook w:val="04A0" w:firstRow="1" w:lastRow="0" w:firstColumn="1" w:lastColumn="0" w:noHBand="0" w:noVBand="1"/>
      </w:tblPr>
      <w:tblGrid>
        <w:gridCol w:w="1152"/>
        <w:gridCol w:w="1231"/>
        <w:gridCol w:w="1152"/>
        <w:gridCol w:w="1152"/>
      </w:tblGrid>
      <w:tr w:rsidR="00063726" w:rsidTr="0070568C">
        <w:tc>
          <w:tcPr>
            <w:tcW w:w="1152" w:type="dxa"/>
            <w:tcBorders>
              <w:bottom w:val="double" w:sz="4" w:space="0" w:color="auto"/>
            </w:tcBorders>
            <w:vAlign w:val="center"/>
          </w:tcPr>
          <w:p w:rsidR="00063726" w:rsidRPr="0070568C" w:rsidRDefault="00063726" w:rsidP="0070568C">
            <w:pPr>
              <w:pStyle w:val="BodyText"/>
              <w:spacing w:beforeLines="20" w:before="48" w:after="20"/>
              <w:jc w:val="center"/>
              <w:rPr>
                <w:i/>
                <w:sz w:val="22"/>
                <w:szCs w:val="22"/>
              </w:rPr>
            </w:pPr>
            <w:r w:rsidRPr="0070568C">
              <w:rPr>
                <w:bCs/>
                <w:i/>
                <w:kern w:val="24"/>
                <w:sz w:val="22"/>
                <w:szCs w:val="22"/>
              </w:rPr>
              <w:t>n</w:t>
            </w:r>
          </w:p>
        </w:tc>
        <w:tc>
          <w:tcPr>
            <w:tcW w:w="1231" w:type="dxa"/>
            <w:tcBorders>
              <w:bottom w:val="double" w:sz="4" w:space="0" w:color="auto"/>
            </w:tcBorders>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Polynomial</w:t>
            </w:r>
          </w:p>
        </w:tc>
        <w:tc>
          <w:tcPr>
            <w:tcW w:w="1152" w:type="dxa"/>
            <w:tcBorders>
              <w:bottom w:val="double" w:sz="4" w:space="0" w:color="auto"/>
            </w:tcBorders>
            <w:vAlign w:val="center"/>
          </w:tcPr>
          <w:p w:rsidR="00063726" w:rsidRPr="0070568C" w:rsidRDefault="00063726" w:rsidP="0070568C">
            <w:pPr>
              <w:pStyle w:val="BodyText"/>
              <w:spacing w:beforeLines="20" w:before="48" w:after="20"/>
              <w:jc w:val="center"/>
              <w:rPr>
                <w:i/>
                <w:sz w:val="22"/>
                <w:szCs w:val="22"/>
              </w:rPr>
            </w:pPr>
            <w:r w:rsidRPr="0070568C">
              <w:rPr>
                <w:bCs/>
                <w:i/>
                <w:kern w:val="24"/>
                <w:sz w:val="22"/>
                <w:szCs w:val="22"/>
              </w:rPr>
              <w:t>d</w:t>
            </w:r>
            <w:r w:rsidR="00BD2FB9">
              <w:rPr>
                <w:bCs/>
                <w:i/>
                <w:kern w:val="24"/>
                <w:position w:val="-8"/>
                <w:sz w:val="22"/>
                <w:szCs w:val="22"/>
                <w:vertAlign w:val="subscript"/>
              </w:rPr>
              <w:t>f</w:t>
            </w:r>
          </w:p>
        </w:tc>
        <w:tc>
          <w:tcPr>
            <w:tcW w:w="1152" w:type="dxa"/>
            <w:tcBorders>
              <w:bottom w:val="double" w:sz="4" w:space="0" w:color="auto"/>
            </w:tcBorders>
            <w:vAlign w:val="center"/>
          </w:tcPr>
          <w:p w:rsidR="00063726" w:rsidRPr="0070568C" w:rsidRDefault="009364F4" w:rsidP="0070568C">
            <w:pPr>
              <w:pStyle w:val="BodyText"/>
              <w:spacing w:beforeLines="20" w:before="48" w:after="20"/>
              <w:jc w:val="center"/>
              <w:rPr>
                <w:i/>
                <w:sz w:val="22"/>
                <w:szCs w:val="22"/>
              </w:rPr>
            </w:pPr>
            <m:oMathPara>
              <m:oMath>
                <m:sSub>
                  <m:sSubPr>
                    <m:ctrlPr>
                      <w:rPr>
                        <w:rFonts w:ascii="Cambria Math" w:hAnsi="Cambria Math"/>
                        <w:i/>
                        <w:sz w:val="22"/>
                        <w:szCs w:val="22"/>
                      </w:rPr>
                    </m:ctrlPr>
                  </m:sSubPr>
                  <m:e>
                    <m:r>
                      <w:rPr>
                        <w:rFonts w:ascii="Cambria Math" w:hAnsi="Cambria Math"/>
                        <w:sz w:val="22"/>
                        <w:szCs w:val="22"/>
                      </w:rPr>
                      <m:t>A</m:t>
                    </m:r>
                  </m:e>
                  <m:sub>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f</m:t>
                        </m:r>
                      </m:sub>
                    </m:sSub>
                  </m:sub>
                </m:sSub>
              </m:oMath>
            </m:oMathPara>
          </w:p>
        </w:tc>
      </w:tr>
      <w:tr w:rsidR="00063726" w:rsidTr="0070568C">
        <w:tc>
          <w:tcPr>
            <w:tcW w:w="1152" w:type="dxa"/>
            <w:tcBorders>
              <w:top w:val="double" w:sz="4" w:space="0" w:color="auto"/>
            </w:tcBorders>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1</w:t>
            </w:r>
          </w:p>
        </w:tc>
        <w:tc>
          <w:tcPr>
            <w:tcW w:w="1231" w:type="dxa"/>
            <w:tcBorders>
              <w:top w:val="double" w:sz="4" w:space="0" w:color="auto"/>
            </w:tcBorders>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133</w:t>
            </w:r>
          </w:p>
        </w:tc>
        <w:tc>
          <w:tcPr>
            <w:tcW w:w="1152" w:type="dxa"/>
            <w:tcBorders>
              <w:top w:val="double" w:sz="4" w:space="0" w:color="auto"/>
            </w:tcBorders>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w:t>
            </w:r>
          </w:p>
        </w:tc>
        <w:tc>
          <w:tcPr>
            <w:tcW w:w="1152" w:type="dxa"/>
            <w:tcBorders>
              <w:top w:val="double" w:sz="4" w:space="0" w:color="auto"/>
            </w:tcBorders>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2</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171</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10</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11</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3</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165</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15</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3</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4</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117</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20</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2</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5</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135</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25</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6</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157</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30</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7</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135</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36</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4</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8</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123</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40</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9</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173</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46</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3</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10</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135</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51</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2</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11</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171</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56</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2</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12</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135</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61</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13</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173</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66</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14</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135</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72</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4</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15</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145</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76</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16</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157</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82</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3</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17</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135</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87</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2</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18</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117</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92</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2</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19</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135</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97</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w:t>
            </w:r>
          </w:p>
        </w:tc>
      </w:tr>
      <w:tr w:rsidR="00063726" w:rsidTr="0070568C">
        <w:tc>
          <w:tcPr>
            <w:tcW w:w="1152" w:type="dxa"/>
            <w:vAlign w:val="center"/>
          </w:tcPr>
          <w:p w:rsidR="00063726" w:rsidRPr="0070568C" w:rsidRDefault="00063726" w:rsidP="0070568C">
            <w:pPr>
              <w:pStyle w:val="BodyText"/>
              <w:spacing w:beforeLines="20" w:before="48" w:after="20"/>
              <w:jc w:val="center"/>
              <w:rPr>
                <w:sz w:val="22"/>
                <w:szCs w:val="22"/>
              </w:rPr>
            </w:pPr>
            <w:r w:rsidRPr="0070568C">
              <w:rPr>
                <w:bCs/>
                <w:kern w:val="24"/>
                <w:sz w:val="22"/>
                <w:szCs w:val="22"/>
              </w:rPr>
              <w:t>20</w:t>
            </w:r>
          </w:p>
        </w:tc>
        <w:tc>
          <w:tcPr>
            <w:tcW w:w="1231"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157</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102</w:t>
            </w:r>
          </w:p>
        </w:tc>
        <w:tc>
          <w:tcPr>
            <w:tcW w:w="1152" w:type="dxa"/>
            <w:vAlign w:val="center"/>
          </w:tcPr>
          <w:p w:rsidR="00063726" w:rsidRPr="0070568C" w:rsidRDefault="00063726" w:rsidP="0070568C">
            <w:pPr>
              <w:pStyle w:val="BodyText"/>
              <w:spacing w:beforeLines="20" w:before="48" w:after="20"/>
              <w:jc w:val="center"/>
              <w:rPr>
                <w:sz w:val="22"/>
                <w:szCs w:val="22"/>
              </w:rPr>
            </w:pPr>
            <w:r w:rsidRPr="0070568C">
              <w:rPr>
                <w:kern w:val="24"/>
                <w:sz w:val="22"/>
                <w:szCs w:val="22"/>
              </w:rPr>
              <w:t>1</w:t>
            </w:r>
          </w:p>
        </w:tc>
      </w:tr>
    </w:tbl>
    <w:p w:rsidR="00567BA9" w:rsidRDefault="00567BA9" w:rsidP="0070568C">
      <w:pPr>
        <w:pStyle w:val="BodyText"/>
      </w:pPr>
    </w:p>
    <w:p w:rsidR="000E1754" w:rsidRPr="00BA310F" w:rsidRDefault="00E817BF" w:rsidP="0070568C">
      <w:pPr>
        <w:pStyle w:val="BodyText"/>
        <w:jc w:val="center"/>
      </w:pPr>
      <w:r w:rsidRPr="00E817BF">
        <w:rPr>
          <w:noProof/>
          <w:lang w:eastAsia="zh-CN"/>
        </w:rPr>
        <w:lastRenderedPageBreak/>
        <w:drawing>
          <wp:inline distT="0" distB="0" distL="0" distR="0" wp14:anchorId="72850162" wp14:editId="7392F2A7">
            <wp:extent cx="4697835" cy="3523376"/>
            <wp:effectExtent l="0" t="0" r="762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697835" cy="3523376"/>
                    </a:xfrm>
                    <a:prstGeom prst="rect">
                      <a:avLst/>
                    </a:prstGeom>
                  </pic:spPr>
                </pic:pic>
              </a:graphicData>
            </a:graphic>
          </wp:inline>
        </w:drawing>
      </w:r>
    </w:p>
    <w:p w:rsidR="00567BA9" w:rsidRPr="00BA310F" w:rsidRDefault="00C1607C" w:rsidP="0070568C">
      <w:pPr>
        <w:pStyle w:val="BodyText"/>
        <w:jc w:val="center"/>
      </w:pPr>
      <w:r>
        <w:t>Figure 5</w:t>
      </w:r>
      <w:r w:rsidR="0001666C">
        <w:t xml:space="preserve"> Performance of </w:t>
      </w:r>
      <w:r w:rsidR="0001666C">
        <w:rPr>
          <w:sz w:val="22"/>
          <w:szCs w:val="22"/>
        </w:rPr>
        <w:t xml:space="preserve">TBCC-CRC based on the </w:t>
      </w:r>
      <w:r w:rsidR="001439F0">
        <w:rPr>
          <w:sz w:val="22"/>
          <w:szCs w:val="22"/>
        </w:rPr>
        <w:t xml:space="preserve">existing </w:t>
      </w:r>
      <w:r w:rsidR="0001666C">
        <w:rPr>
          <w:sz w:val="22"/>
          <w:szCs w:val="22"/>
        </w:rPr>
        <w:t>LTE rate 1/3 code and the proposed rate 1/6 code</w:t>
      </w:r>
      <w:r>
        <w:t>.</w:t>
      </w:r>
      <w:r w:rsidR="001439F0">
        <w:t xml:space="preserve"> </w:t>
      </w:r>
      <w:r w:rsidR="005F6530">
        <w:t>K=29, N=288.</w:t>
      </w:r>
    </w:p>
    <w:p w:rsidR="00FE5799" w:rsidRDefault="00FE5799" w:rsidP="00FE5799">
      <w:pPr>
        <w:pStyle w:val="Heading1"/>
      </w:pPr>
      <w:r>
        <w:t>Conclusion</w:t>
      </w:r>
    </w:p>
    <w:p w:rsidR="00CD52B4" w:rsidRDefault="002F389A" w:rsidP="00CD52B4">
      <w:r>
        <w:t xml:space="preserve">In this contribution, performance of </w:t>
      </w:r>
      <w:r w:rsidR="00CD68F6">
        <w:t xml:space="preserve">LTE TBCC codes and Polar codes </w:t>
      </w:r>
      <w:r w:rsidR="005D58CB">
        <w:t>are</w:t>
      </w:r>
      <w:r w:rsidR="00CD68F6">
        <w:t xml:space="preserve"> </w:t>
      </w:r>
      <w:r w:rsidR="00154226">
        <w:t>investigated</w:t>
      </w:r>
      <w:r w:rsidR="00CD68F6">
        <w:t>. Based on the obtained results</w:t>
      </w:r>
      <w:r w:rsidR="00D24316">
        <w:t>,</w:t>
      </w:r>
      <w:r w:rsidR="00CD68F6">
        <w:t xml:space="preserve"> we have the following</w:t>
      </w:r>
      <w:r w:rsidR="005D58CB">
        <w:t xml:space="preserve"> proposals and observation</w:t>
      </w:r>
      <w:r w:rsidR="00CD68F6">
        <w:t>.</w:t>
      </w:r>
    </w:p>
    <w:p w:rsidR="00770123" w:rsidRDefault="00770123" w:rsidP="00CD52B4"/>
    <w:p w:rsidR="00770123" w:rsidRPr="007223E0" w:rsidRDefault="001439F0" w:rsidP="00770123">
      <w:pPr>
        <w:pStyle w:val="Proposal"/>
        <w:numPr>
          <w:ilvl w:val="0"/>
          <w:numId w:val="32"/>
        </w:numPr>
        <w:rPr>
          <w:lang w:val="en-US"/>
        </w:rPr>
      </w:pPr>
      <w:r>
        <w:rPr>
          <w:lang w:val="en-US"/>
        </w:rPr>
        <w:t>For info block size in the range of DCI</w:t>
      </w:r>
      <w:r w:rsidR="00770123">
        <w:rPr>
          <w:lang w:val="en-US"/>
        </w:rPr>
        <w:t xml:space="preserve">, TBCC with list-Viterbi decoder and Polar code with SC list decoder, both of list size 32, achieve comparable performance. </w:t>
      </w:r>
    </w:p>
    <w:p w:rsidR="00770123" w:rsidRPr="00A73DBF" w:rsidRDefault="00770123" w:rsidP="00CD52B4">
      <w:pPr>
        <w:rPr>
          <w:lang w:val="en-GB"/>
        </w:rPr>
      </w:pPr>
    </w:p>
    <w:p w:rsidR="005D58CB" w:rsidRDefault="005D58CB" w:rsidP="00CD52B4"/>
    <w:p w:rsidR="00154226" w:rsidRPr="007223E0" w:rsidRDefault="00154226" w:rsidP="00A73DBF">
      <w:pPr>
        <w:pStyle w:val="Proposal"/>
        <w:numPr>
          <w:ilvl w:val="0"/>
          <w:numId w:val="33"/>
        </w:numPr>
      </w:pPr>
      <w:r>
        <w:rPr>
          <w:lang w:val="en-US"/>
        </w:rPr>
        <w:t xml:space="preserve">For error correction coding of control channel, LTE tail-biting convolutional codes </w:t>
      </w:r>
      <w:r w:rsidR="00697BE6">
        <w:rPr>
          <w:lang w:val="en-US"/>
        </w:rPr>
        <w:t xml:space="preserve">(with potential enhancements) </w:t>
      </w:r>
      <w:r>
        <w:rPr>
          <w:lang w:val="en-US"/>
        </w:rPr>
        <w:t>should be reused.</w:t>
      </w:r>
    </w:p>
    <w:p w:rsidR="00154226" w:rsidRPr="007223E0" w:rsidRDefault="00154226" w:rsidP="00A73DBF">
      <w:pPr>
        <w:pStyle w:val="Proposal"/>
        <w:numPr>
          <w:ilvl w:val="0"/>
          <w:numId w:val="33"/>
        </w:numPr>
      </w:pPr>
      <w:r>
        <w:rPr>
          <w:lang w:val="en-US"/>
        </w:rPr>
        <w:t>For error correction coding of control channel, no CRC bits should be introduced for the purpose of assisting with channel decoder.</w:t>
      </w:r>
    </w:p>
    <w:p w:rsidR="00154226" w:rsidRDefault="00154226" w:rsidP="00A73DBF">
      <w:pPr>
        <w:pStyle w:val="Proposal"/>
        <w:numPr>
          <w:ilvl w:val="0"/>
          <w:numId w:val="33"/>
        </w:numPr>
        <w:rPr>
          <w:lang w:val="en-US"/>
        </w:rPr>
      </w:pPr>
      <w:r>
        <w:rPr>
          <w:lang w:val="en-US"/>
        </w:rPr>
        <w:t>For data channel of short information block lengths, LTE tail-biting convolutional codes are preferred over Polar codes.</w:t>
      </w:r>
    </w:p>
    <w:p w:rsidR="001C2717" w:rsidRPr="00002B72" w:rsidRDefault="001C2717" w:rsidP="001C2717">
      <w:pPr>
        <w:pStyle w:val="Proposal"/>
        <w:numPr>
          <w:ilvl w:val="0"/>
          <w:numId w:val="33"/>
        </w:numPr>
        <w:rPr>
          <w:lang w:val="en-US"/>
        </w:rPr>
      </w:pPr>
      <w:r>
        <w:rPr>
          <w:lang w:val="en-US"/>
        </w:rPr>
        <w:t xml:space="preserve">For </w:t>
      </w:r>
      <w:r w:rsidRPr="00D33AF3">
        <w:rPr>
          <w:sz w:val="22"/>
          <w:szCs w:val="22"/>
        </w:rPr>
        <w:t>low code rate applications, enhancements to TBCC</w:t>
      </w:r>
      <w:r>
        <w:rPr>
          <w:sz w:val="22"/>
          <w:szCs w:val="22"/>
        </w:rPr>
        <w:t xml:space="preserve"> with nested low rate polynomials can be considered</w:t>
      </w:r>
      <w:r>
        <w:rPr>
          <w:lang w:val="en-US"/>
        </w:rPr>
        <w:t>.</w:t>
      </w:r>
    </w:p>
    <w:p w:rsidR="00154226" w:rsidRPr="00A73DBF" w:rsidRDefault="00154226" w:rsidP="00CD52B4">
      <w:pPr>
        <w:rPr>
          <w:lang w:val="en-GB"/>
        </w:rPr>
      </w:pPr>
    </w:p>
    <w:p w:rsidR="00F21825" w:rsidRPr="00A742FA" w:rsidRDefault="00F21825" w:rsidP="00F21825">
      <w:pPr>
        <w:pStyle w:val="Heading1"/>
        <w:tabs>
          <w:tab w:val="clear" w:pos="567"/>
          <w:tab w:val="num" w:pos="432"/>
        </w:tabs>
      </w:pPr>
      <w:r w:rsidRPr="00A742FA">
        <w:t>Reference</w:t>
      </w:r>
      <w:r>
        <w:t>s</w:t>
      </w:r>
    </w:p>
    <w:p w:rsidR="00DE7EA8" w:rsidRDefault="00DE7EA8" w:rsidP="00FE1721">
      <w:pPr>
        <w:pStyle w:val="Reference"/>
        <w:rPr>
          <w:lang w:val="en-US"/>
        </w:rPr>
      </w:pPr>
      <w:bookmarkStart w:id="5" w:name="_Ref442441852"/>
      <w:bookmarkStart w:id="6" w:name="_Ref441562466"/>
      <w:r>
        <w:rPr>
          <w:lang w:val="en-US"/>
        </w:rPr>
        <w:t xml:space="preserve">R1-162162 “High-level Comparison of Candidate FEC Schemes for 5G”, Huawei, </w:t>
      </w:r>
      <w:proofErr w:type="spellStart"/>
      <w:r>
        <w:rPr>
          <w:lang w:val="en-US"/>
        </w:rPr>
        <w:t>HiSilicon</w:t>
      </w:r>
      <w:proofErr w:type="spellEnd"/>
      <w:r>
        <w:rPr>
          <w:lang w:val="en-US"/>
        </w:rPr>
        <w:t>, April 2016.</w:t>
      </w:r>
    </w:p>
    <w:p w:rsidR="00BA2CDD" w:rsidRPr="00F21825" w:rsidRDefault="00CA62AD" w:rsidP="00A73DBF">
      <w:pPr>
        <w:pStyle w:val="Reference"/>
      </w:pPr>
      <w:r w:rsidRPr="00CA62AD">
        <w:rPr>
          <w:lang w:val="en-US"/>
        </w:rPr>
        <w:t>R1-164357</w:t>
      </w:r>
      <w:r>
        <w:rPr>
          <w:lang w:val="en-US"/>
        </w:rPr>
        <w:t>, “</w:t>
      </w:r>
      <w:r w:rsidRPr="00CA62AD">
        <w:rPr>
          <w:lang w:val="en-US"/>
        </w:rPr>
        <w:t>Analysis of Candidate Code Types for Short Block Length</w:t>
      </w:r>
      <w:r>
        <w:rPr>
          <w:lang w:val="en-US"/>
        </w:rPr>
        <w:t xml:space="preserve">,” </w:t>
      </w:r>
      <w:r w:rsidRPr="00CA62AD">
        <w:rPr>
          <w:lang w:val="en-US"/>
        </w:rPr>
        <w:t>Ericsson</w:t>
      </w:r>
      <w:r w:rsidR="00C23868">
        <w:t>, May 2016</w:t>
      </w:r>
      <w:r w:rsidR="00FE1721">
        <w:t>.</w:t>
      </w:r>
      <w:bookmarkEnd w:id="5"/>
      <w:bookmarkEnd w:id="6"/>
    </w:p>
    <w:sectPr w:rsidR="00BA2CDD" w:rsidRPr="00F2182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4F4" w:rsidRDefault="009364F4">
      <w:r>
        <w:separator/>
      </w:r>
    </w:p>
  </w:endnote>
  <w:endnote w:type="continuationSeparator" w:id="0">
    <w:p w:rsidR="009364F4" w:rsidRDefault="0093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20" w:rsidRDefault="00A941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20" w:rsidRDefault="00A941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20" w:rsidRDefault="00A941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4F4" w:rsidRDefault="009364F4">
      <w:r>
        <w:separator/>
      </w:r>
    </w:p>
  </w:footnote>
  <w:footnote w:type="continuationSeparator" w:id="0">
    <w:p w:rsidR="009364F4" w:rsidRDefault="00936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20" w:rsidRDefault="00A941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20" w:rsidRDefault="00A94120" w:rsidP="004629FA">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20" w:rsidRDefault="00A941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218"/>
    <w:multiLevelType w:val="hybridMultilevel"/>
    <w:tmpl w:val="6E146168"/>
    <w:lvl w:ilvl="0" w:tplc="04090001">
      <w:start w:val="1"/>
      <w:numFmt w:val="bullet"/>
      <w:lvlText w:val=""/>
      <w:lvlJc w:val="left"/>
      <w:pPr>
        <w:ind w:left="720" w:hanging="360"/>
      </w:pPr>
      <w:rPr>
        <w:rFonts w:ascii="Symbol" w:hAnsi="Symbol" w:hint="default"/>
      </w:rPr>
    </w:lvl>
    <w:lvl w:ilvl="1" w:tplc="33DAC288">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698"/>
        </w:tabs>
        <w:ind w:left="36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22105C"/>
    <w:multiLevelType w:val="hybridMultilevel"/>
    <w:tmpl w:val="890C3A1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39E39A8"/>
    <w:multiLevelType w:val="hybridMultilevel"/>
    <w:tmpl w:val="667C4492"/>
    <w:lvl w:ilvl="0" w:tplc="2314FBA2">
      <w:start w:val="1"/>
      <w:numFmt w:val="bullet"/>
      <w:lvlText w:val="›"/>
      <w:lvlJc w:val="left"/>
      <w:pPr>
        <w:tabs>
          <w:tab w:val="num" w:pos="720"/>
        </w:tabs>
        <w:ind w:left="720" w:hanging="360"/>
      </w:pPr>
      <w:rPr>
        <w:rFonts w:ascii="Arial" w:hAnsi="Arial" w:hint="default"/>
      </w:rPr>
    </w:lvl>
    <w:lvl w:ilvl="1" w:tplc="FFA64A06" w:tentative="1">
      <w:start w:val="1"/>
      <w:numFmt w:val="bullet"/>
      <w:lvlText w:val="›"/>
      <w:lvlJc w:val="left"/>
      <w:pPr>
        <w:tabs>
          <w:tab w:val="num" w:pos="1440"/>
        </w:tabs>
        <w:ind w:left="1440" w:hanging="360"/>
      </w:pPr>
      <w:rPr>
        <w:rFonts w:ascii="Arial" w:hAnsi="Arial" w:hint="default"/>
      </w:rPr>
    </w:lvl>
    <w:lvl w:ilvl="2" w:tplc="56406A16" w:tentative="1">
      <w:start w:val="1"/>
      <w:numFmt w:val="bullet"/>
      <w:lvlText w:val="›"/>
      <w:lvlJc w:val="left"/>
      <w:pPr>
        <w:tabs>
          <w:tab w:val="num" w:pos="2160"/>
        </w:tabs>
        <w:ind w:left="2160" w:hanging="360"/>
      </w:pPr>
      <w:rPr>
        <w:rFonts w:ascii="Arial" w:hAnsi="Arial" w:hint="default"/>
      </w:rPr>
    </w:lvl>
    <w:lvl w:ilvl="3" w:tplc="3F82B94E" w:tentative="1">
      <w:start w:val="1"/>
      <w:numFmt w:val="bullet"/>
      <w:lvlText w:val="›"/>
      <w:lvlJc w:val="left"/>
      <w:pPr>
        <w:tabs>
          <w:tab w:val="num" w:pos="2880"/>
        </w:tabs>
        <w:ind w:left="2880" w:hanging="360"/>
      </w:pPr>
      <w:rPr>
        <w:rFonts w:ascii="Arial" w:hAnsi="Arial" w:hint="default"/>
      </w:rPr>
    </w:lvl>
    <w:lvl w:ilvl="4" w:tplc="81FAB3C0" w:tentative="1">
      <w:start w:val="1"/>
      <w:numFmt w:val="bullet"/>
      <w:lvlText w:val="›"/>
      <w:lvlJc w:val="left"/>
      <w:pPr>
        <w:tabs>
          <w:tab w:val="num" w:pos="3600"/>
        </w:tabs>
        <w:ind w:left="3600" w:hanging="360"/>
      </w:pPr>
      <w:rPr>
        <w:rFonts w:ascii="Arial" w:hAnsi="Arial" w:hint="default"/>
      </w:rPr>
    </w:lvl>
    <w:lvl w:ilvl="5" w:tplc="74A449AC" w:tentative="1">
      <w:start w:val="1"/>
      <w:numFmt w:val="bullet"/>
      <w:lvlText w:val="›"/>
      <w:lvlJc w:val="left"/>
      <w:pPr>
        <w:tabs>
          <w:tab w:val="num" w:pos="4320"/>
        </w:tabs>
        <w:ind w:left="4320" w:hanging="360"/>
      </w:pPr>
      <w:rPr>
        <w:rFonts w:ascii="Arial" w:hAnsi="Arial" w:hint="default"/>
      </w:rPr>
    </w:lvl>
    <w:lvl w:ilvl="6" w:tplc="B51C6194" w:tentative="1">
      <w:start w:val="1"/>
      <w:numFmt w:val="bullet"/>
      <w:lvlText w:val="›"/>
      <w:lvlJc w:val="left"/>
      <w:pPr>
        <w:tabs>
          <w:tab w:val="num" w:pos="5040"/>
        </w:tabs>
        <w:ind w:left="5040" w:hanging="360"/>
      </w:pPr>
      <w:rPr>
        <w:rFonts w:ascii="Arial" w:hAnsi="Arial" w:hint="default"/>
      </w:rPr>
    </w:lvl>
    <w:lvl w:ilvl="7" w:tplc="C018F18E" w:tentative="1">
      <w:start w:val="1"/>
      <w:numFmt w:val="bullet"/>
      <w:lvlText w:val="›"/>
      <w:lvlJc w:val="left"/>
      <w:pPr>
        <w:tabs>
          <w:tab w:val="num" w:pos="5760"/>
        </w:tabs>
        <w:ind w:left="5760" w:hanging="360"/>
      </w:pPr>
      <w:rPr>
        <w:rFonts w:ascii="Arial" w:hAnsi="Arial" w:hint="default"/>
      </w:rPr>
    </w:lvl>
    <w:lvl w:ilvl="8" w:tplc="715E8360" w:tentative="1">
      <w:start w:val="1"/>
      <w:numFmt w:val="bullet"/>
      <w:lvlText w:val="›"/>
      <w:lvlJc w:val="left"/>
      <w:pPr>
        <w:tabs>
          <w:tab w:val="num" w:pos="6480"/>
        </w:tabs>
        <w:ind w:left="6480" w:hanging="360"/>
      </w:pPr>
      <w:rPr>
        <w:rFonts w:ascii="Arial" w:hAnsi="Arial" w:hint="default"/>
      </w:rPr>
    </w:lvl>
  </w:abstractNum>
  <w:abstractNum w:abstractNumId="4">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FF410CA"/>
    <w:multiLevelType w:val="hybridMultilevel"/>
    <w:tmpl w:val="96C234D8"/>
    <w:lvl w:ilvl="0" w:tplc="E626F9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24325D8"/>
    <w:multiLevelType w:val="hybridMultilevel"/>
    <w:tmpl w:val="1BF88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410C3E"/>
    <w:multiLevelType w:val="hybridMultilevel"/>
    <w:tmpl w:val="258CD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D77F0B"/>
    <w:multiLevelType w:val="hybridMultilevel"/>
    <w:tmpl w:val="49FA8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AD20E9"/>
    <w:multiLevelType w:val="hybridMultilevel"/>
    <w:tmpl w:val="57D6191C"/>
    <w:lvl w:ilvl="0" w:tplc="CEA4086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9EB3AEB"/>
    <w:multiLevelType w:val="hybridMultilevel"/>
    <w:tmpl w:val="1486D5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AA46647"/>
    <w:multiLevelType w:val="hybridMultilevel"/>
    <w:tmpl w:val="B65C662A"/>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6E6EE2"/>
    <w:multiLevelType w:val="hybridMultilevel"/>
    <w:tmpl w:val="471A38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9C2F40"/>
    <w:multiLevelType w:val="hybridMultilevel"/>
    <w:tmpl w:val="FC004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47B76E57"/>
    <w:multiLevelType w:val="hybridMultilevel"/>
    <w:tmpl w:val="931C4530"/>
    <w:lvl w:ilvl="0" w:tplc="FB1AE10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9">
    <w:nsid w:val="49272163"/>
    <w:multiLevelType w:val="hybridMultilevel"/>
    <w:tmpl w:val="3D2E6BF2"/>
    <w:lvl w:ilvl="0" w:tplc="2C5ACF6E">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22">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FF86FBC"/>
    <w:multiLevelType w:val="hybridMultilevel"/>
    <w:tmpl w:val="0E181E7A"/>
    <w:lvl w:ilvl="0" w:tplc="E3665B6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nsid w:val="670B7131"/>
    <w:multiLevelType w:val="hybridMultilevel"/>
    <w:tmpl w:val="57D6191C"/>
    <w:lvl w:ilvl="0" w:tplc="CEA4086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217FE2"/>
    <w:multiLevelType w:val="hybridMultilevel"/>
    <w:tmpl w:val="8C7E2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051768"/>
    <w:multiLevelType w:val="hybridMultilevel"/>
    <w:tmpl w:val="4AD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FF1F0E"/>
    <w:multiLevelType w:val="hybridMultilevel"/>
    <w:tmpl w:val="3A5420BC"/>
    <w:lvl w:ilvl="0" w:tplc="1A44F3D8">
      <w:start w:val="1"/>
      <w:numFmt w:val="bullet"/>
      <w:lvlText w:val="›"/>
      <w:lvlJc w:val="left"/>
      <w:pPr>
        <w:tabs>
          <w:tab w:val="num" w:pos="720"/>
        </w:tabs>
        <w:ind w:left="720" w:hanging="360"/>
      </w:pPr>
      <w:rPr>
        <w:rFonts w:ascii="Ericsson Capital TT" w:hAnsi="Ericsson Capital TT" w:hint="default"/>
      </w:rPr>
    </w:lvl>
    <w:lvl w:ilvl="1" w:tplc="5574DEFA" w:tentative="1">
      <w:start w:val="1"/>
      <w:numFmt w:val="bullet"/>
      <w:lvlText w:val="›"/>
      <w:lvlJc w:val="left"/>
      <w:pPr>
        <w:tabs>
          <w:tab w:val="num" w:pos="1440"/>
        </w:tabs>
        <w:ind w:left="1440" w:hanging="360"/>
      </w:pPr>
      <w:rPr>
        <w:rFonts w:ascii="Ericsson Capital TT" w:hAnsi="Ericsson Capital TT" w:hint="default"/>
      </w:rPr>
    </w:lvl>
    <w:lvl w:ilvl="2" w:tplc="B84E1848">
      <w:start w:val="1"/>
      <w:numFmt w:val="bullet"/>
      <w:lvlText w:val="›"/>
      <w:lvlJc w:val="left"/>
      <w:pPr>
        <w:tabs>
          <w:tab w:val="num" w:pos="2160"/>
        </w:tabs>
        <w:ind w:left="2160" w:hanging="360"/>
      </w:pPr>
      <w:rPr>
        <w:rFonts w:ascii="Ericsson Capital TT" w:hAnsi="Ericsson Capital TT" w:hint="default"/>
      </w:rPr>
    </w:lvl>
    <w:lvl w:ilvl="3" w:tplc="EFE86046" w:tentative="1">
      <w:start w:val="1"/>
      <w:numFmt w:val="bullet"/>
      <w:lvlText w:val="›"/>
      <w:lvlJc w:val="left"/>
      <w:pPr>
        <w:tabs>
          <w:tab w:val="num" w:pos="2880"/>
        </w:tabs>
        <w:ind w:left="2880" w:hanging="360"/>
      </w:pPr>
      <w:rPr>
        <w:rFonts w:ascii="Ericsson Capital TT" w:hAnsi="Ericsson Capital TT" w:hint="default"/>
      </w:rPr>
    </w:lvl>
    <w:lvl w:ilvl="4" w:tplc="ED300198" w:tentative="1">
      <w:start w:val="1"/>
      <w:numFmt w:val="bullet"/>
      <w:lvlText w:val="›"/>
      <w:lvlJc w:val="left"/>
      <w:pPr>
        <w:tabs>
          <w:tab w:val="num" w:pos="3600"/>
        </w:tabs>
        <w:ind w:left="3600" w:hanging="360"/>
      </w:pPr>
      <w:rPr>
        <w:rFonts w:ascii="Ericsson Capital TT" w:hAnsi="Ericsson Capital TT" w:hint="default"/>
      </w:rPr>
    </w:lvl>
    <w:lvl w:ilvl="5" w:tplc="A23C4006" w:tentative="1">
      <w:start w:val="1"/>
      <w:numFmt w:val="bullet"/>
      <w:lvlText w:val="›"/>
      <w:lvlJc w:val="left"/>
      <w:pPr>
        <w:tabs>
          <w:tab w:val="num" w:pos="4320"/>
        </w:tabs>
        <w:ind w:left="4320" w:hanging="360"/>
      </w:pPr>
      <w:rPr>
        <w:rFonts w:ascii="Ericsson Capital TT" w:hAnsi="Ericsson Capital TT" w:hint="default"/>
      </w:rPr>
    </w:lvl>
    <w:lvl w:ilvl="6" w:tplc="B8365D9E" w:tentative="1">
      <w:start w:val="1"/>
      <w:numFmt w:val="bullet"/>
      <w:lvlText w:val="›"/>
      <w:lvlJc w:val="left"/>
      <w:pPr>
        <w:tabs>
          <w:tab w:val="num" w:pos="5040"/>
        </w:tabs>
        <w:ind w:left="5040" w:hanging="360"/>
      </w:pPr>
      <w:rPr>
        <w:rFonts w:ascii="Ericsson Capital TT" w:hAnsi="Ericsson Capital TT" w:hint="default"/>
      </w:rPr>
    </w:lvl>
    <w:lvl w:ilvl="7" w:tplc="E1B2F97E" w:tentative="1">
      <w:start w:val="1"/>
      <w:numFmt w:val="bullet"/>
      <w:lvlText w:val="›"/>
      <w:lvlJc w:val="left"/>
      <w:pPr>
        <w:tabs>
          <w:tab w:val="num" w:pos="5760"/>
        </w:tabs>
        <w:ind w:left="5760" w:hanging="360"/>
      </w:pPr>
      <w:rPr>
        <w:rFonts w:ascii="Ericsson Capital TT" w:hAnsi="Ericsson Capital TT" w:hint="default"/>
      </w:rPr>
    </w:lvl>
    <w:lvl w:ilvl="8" w:tplc="E66A1CF4" w:tentative="1">
      <w:start w:val="1"/>
      <w:numFmt w:val="bullet"/>
      <w:lvlText w:val="›"/>
      <w:lvlJc w:val="left"/>
      <w:pPr>
        <w:tabs>
          <w:tab w:val="num" w:pos="6480"/>
        </w:tabs>
        <w:ind w:left="6480" w:hanging="360"/>
      </w:pPr>
      <w:rPr>
        <w:rFonts w:ascii="Ericsson Capital TT" w:hAnsi="Ericsson Capital TT" w:hint="default"/>
      </w:rPr>
    </w:lvl>
  </w:abstractNum>
  <w:abstractNum w:abstractNumId="28">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8"/>
  </w:num>
  <w:num w:numId="2">
    <w:abstractNumId w:val="8"/>
  </w:num>
  <w:num w:numId="3">
    <w:abstractNumId w:val="5"/>
  </w:num>
  <w:num w:numId="4">
    <w:abstractNumId w:val="12"/>
  </w:num>
  <w:num w:numId="5">
    <w:abstractNumId w:val="22"/>
  </w:num>
  <w:num w:numId="6">
    <w:abstractNumId w:val="18"/>
  </w:num>
  <w:num w:numId="7">
    <w:abstractNumId w:val="9"/>
  </w:num>
  <w:num w:numId="8">
    <w:abstractNumId w:val="23"/>
  </w:num>
  <w:num w:numId="9">
    <w:abstractNumId w:val="2"/>
  </w:num>
  <w:num w:numId="10">
    <w:abstractNumId w:val="13"/>
  </w:num>
  <w:num w:numId="11">
    <w:abstractNumId w:val="6"/>
  </w:num>
  <w:num w:numId="12">
    <w:abstractNumId w:val="1"/>
  </w:num>
  <w:num w:numId="13">
    <w:abstractNumId w:val="20"/>
  </w:num>
  <w:num w:numId="14">
    <w:abstractNumId w:val="28"/>
  </w:num>
  <w:num w:numId="15">
    <w:abstractNumId w:val="14"/>
  </w:num>
  <w:num w:numId="16">
    <w:abstractNumId w:val="14"/>
  </w:num>
  <w:num w:numId="17">
    <w:abstractNumId w:val="7"/>
  </w:num>
  <w:num w:numId="18">
    <w:abstractNumId w:val="26"/>
  </w:num>
  <w:num w:numId="19">
    <w:abstractNumId w:val="0"/>
  </w:num>
  <w:num w:numId="20">
    <w:abstractNumId w:val="3"/>
  </w:num>
  <w:num w:numId="21">
    <w:abstractNumId w:val="4"/>
  </w:num>
  <w:num w:numId="22">
    <w:abstractNumId w:val="17"/>
  </w:num>
  <w:num w:numId="23">
    <w:abstractNumId w:val="14"/>
    <w:lvlOverride w:ilvl="0">
      <w:startOverride w:val="1"/>
    </w:lvlOverride>
  </w:num>
  <w:num w:numId="24">
    <w:abstractNumId w:val="14"/>
    <w:lvlOverride w:ilvl="0">
      <w:startOverride w:val="1"/>
    </w:lvlOverride>
  </w:num>
  <w:num w:numId="25">
    <w:abstractNumId w:val="10"/>
  </w:num>
  <w:num w:numId="26">
    <w:abstractNumId w:val="21"/>
  </w:num>
  <w:num w:numId="27">
    <w:abstractNumId w:val="15"/>
  </w:num>
  <w:num w:numId="28">
    <w:abstractNumId w:val="16"/>
  </w:num>
  <w:num w:numId="29">
    <w:abstractNumId w:val="14"/>
  </w:num>
  <w:num w:numId="30">
    <w:abstractNumId w:val="19"/>
  </w:num>
  <w:num w:numId="31">
    <w:abstractNumId w:val="11"/>
  </w:num>
  <w:num w:numId="32">
    <w:abstractNumId w:val="14"/>
    <w:lvlOverride w:ilvl="0">
      <w:startOverride w:val="1"/>
    </w:lvlOverride>
  </w:num>
  <w:num w:numId="33">
    <w:abstractNumId w:val="24"/>
  </w:num>
  <w:num w:numId="34">
    <w:abstractNumId w:val="25"/>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B72"/>
    <w:rsid w:val="00011E3D"/>
    <w:rsid w:val="0001666C"/>
    <w:rsid w:val="00017379"/>
    <w:rsid w:val="000270DF"/>
    <w:rsid w:val="00035B2D"/>
    <w:rsid w:val="00037F1D"/>
    <w:rsid w:val="00042014"/>
    <w:rsid w:val="00043626"/>
    <w:rsid w:val="00063726"/>
    <w:rsid w:val="0006711D"/>
    <w:rsid w:val="00067A94"/>
    <w:rsid w:val="000706D2"/>
    <w:rsid w:val="000727F6"/>
    <w:rsid w:val="00075556"/>
    <w:rsid w:val="00080A1B"/>
    <w:rsid w:val="000A258F"/>
    <w:rsid w:val="000B0D21"/>
    <w:rsid w:val="000C2A7C"/>
    <w:rsid w:val="000E1754"/>
    <w:rsid w:val="000E1EE9"/>
    <w:rsid w:val="000E553E"/>
    <w:rsid w:val="0010682B"/>
    <w:rsid w:val="00112E18"/>
    <w:rsid w:val="001165ED"/>
    <w:rsid w:val="00141448"/>
    <w:rsid w:val="001439F0"/>
    <w:rsid w:val="00146A51"/>
    <w:rsid w:val="00147CB1"/>
    <w:rsid w:val="00154226"/>
    <w:rsid w:val="001561F0"/>
    <w:rsid w:val="001646BA"/>
    <w:rsid w:val="00167AD0"/>
    <w:rsid w:val="00171B98"/>
    <w:rsid w:val="001740BE"/>
    <w:rsid w:val="0017537D"/>
    <w:rsid w:val="00192C96"/>
    <w:rsid w:val="001A302F"/>
    <w:rsid w:val="001A7E35"/>
    <w:rsid w:val="001C2717"/>
    <w:rsid w:val="001D37F0"/>
    <w:rsid w:val="001E19EE"/>
    <w:rsid w:val="001E3AF4"/>
    <w:rsid w:val="001F1AC3"/>
    <w:rsid w:val="002039F0"/>
    <w:rsid w:val="0021013F"/>
    <w:rsid w:val="00221EEE"/>
    <w:rsid w:val="00222EF6"/>
    <w:rsid w:val="002251C6"/>
    <w:rsid w:val="00225744"/>
    <w:rsid w:val="0023189F"/>
    <w:rsid w:val="00241161"/>
    <w:rsid w:val="002572B7"/>
    <w:rsid w:val="00260C73"/>
    <w:rsid w:val="00267C37"/>
    <w:rsid w:val="00276673"/>
    <w:rsid w:val="00283AD6"/>
    <w:rsid w:val="00285696"/>
    <w:rsid w:val="0028582B"/>
    <w:rsid w:val="00290099"/>
    <w:rsid w:val="002A208F"/>
    <w:rsid w:val="002A6D0F"/>
    <w:rsid w:val="002C42A7"/>
    <w:rsid w:val="002D4AD8"/>
    <w:rsid w:val="002D75C1"/>
    <w:rsid w:val="002F389A"/>
    <w:rsid w:val="00324F5A"/>
    <w:rsid w:val="00327E51"/>
    <w:rsid w:val="00333CE1"/>
    <w:rsid w:val="00352C74"/>
    <w:rsid w:val="003545BB"/>
    <w:rsid w:val="003607A6"/>
    <w:rsid w:val="00376B96"/>
    <w:rsid w:val="003875A3"/>
    <w:rsid w:val="003A0816"/>
    <w:rsid w:val="003A3D1B"/>
    <w:rsid w:val="003B0975"/>
    <w:rsid w:val="003B0F1A"/>
    <w:rsid w:val="003B593D"/>
    <w:rsid w:val="003C1250"/>
    <w:rsid w:val="003C7CB3"/>
    <w:rsid w:val="003D15C1"/>
    <w:rsid w:val="003D181E"/>
    <w:rsid w:val="003E4535"/>
    <w:rsid w:val="003E7F4B"/>
    <w:rsid w:val="003F357B"/>
    <w:rsid w:val="00400005"/>
    <w:rsid w:val="004042B6"/>
    <w:rsid w:val="00406405"/>
    <w:rsid w:val="0041785E"/>
    <w:rsid w:val="00420863"/>
    <w:rsid w:val="00427295"/>
    <w:rsid w:val="00436F7D"/>
    <w:rsid w:val="00457D78"/>
    <w:rsid w:val="004629FA"/>
    <w:rsid w:val="00467687"/>
    <w:rsid w:val="0047570D"/>
    <w:rsid w:val="004937CF"/>
    <w:rsid w:val="004B676D"/>
    <w:rsid w:val="004B68E1"/>
    <w:rsid w:val="004B737D"/>
    <w:rsid w:val="004C20A6"/>
    <w:rsid w:val="004C239E"/>
    <w:rsid w:val="004C244C"/>
    <w:rsid w:val="004C7E6C"/>
    <w:rsid w:val="004D018B"/>
    <w:rsid w:val="004E0979"/>
    <w:rsid w:val="004E51F7"/>
    <w:rsid w:val="004F2BAF"/>
    <w:rsid w:val="00510752"/>
    <w:rsid w:val="00514AD2"/>
    <w:rsid w:val="00515413"/>
    <w:rsid w:val="00523E26"/>
    <w:rsid w:val="00525ED9"/>
    <w:rsid w:val="005272AC"/>
    <w:rsid w:val="005310F6"/>
    <w:rsid w:val="00534B32"/>
    <w:rsid w:val="00542988"/>
    <w:rsid w:val="00544399"/>
    <w:rsid w:val="00553341"/>
    <w:rsid w:val="00567BA9"/>
    <w:rsid w:val="00581BB5"/>
    <w:rsid w:val="00587BED"/>
    <w:rsid w:val="005B30A6"/>
    <w:rsid w:val="005B56D3"/>
    <w:rsid w:val="005C475E"/>
    <w:rsid w:val="005C7BC5"/>
    <w:rsid w:val="005D2F87"/>
    <w:rsid w:val="005D30DA"/>
    <w:rsid w:val="005D58CB"/>
    <w:rsid w:val="005D7276"/>
    <w:rsid w:val="005E1C74"/>
    <w:rsid w:val="005E58F0"/>
    <w:rsid w:val="005F6530"/>
    <w:rsid w:val="00607AD7"/>
    <w:rsid w:val="006374EF"/>
    <w:rsid w:val="006438AD"/>
    <w:rsid w:val="0064511D"/>
    <w:rsid w:val="00672609"/>
    <w:rsid w:val="00690A75"/>
    <w:rsid w:val="006951E8"/>
    <w:rsid w:val="00697BE6"/>
    <w:rsid w:val="006A22C7"/>
    <w:rsid w:val="006A286A"/>
    <w:rsid w:val="006A3333"/>
    <w:rsid w:val="006A54FE"/>
    <w:rsid w:val="006C5018"/>
    <w:rsid w:val="006E3CAD"/>
    <w:rsid w:val="006F20F1"/>
    <w:rsid w:val="006F3FE4"/>
    <w:rsid w:val="006F512D"/>
    <w:rsid w:val="00702E5C"/>
    <w:rsid w:val="00704E2A"/>
    <w:rsid w:val="0070568C"/>
    <w:rsid w:val="007079B8"/>
    <w:rsid w:val="00717158"/>
    <w:rsid w:val="00722903"/>
    <w:rsid w:val="0072365C"/>
    <w:rsid w:val="00733007"/>
    <w:rsid w:val="00735657"/>
    <w:rsid w:val="0075399B"/>
    <w:rsid w:val="00757B8D"/>
    <w:rsid w:val="0076236D"/>
    <w:rsid w:val="00762501"/>
    <w:rsid w:val="00770123"/>
    <w:rsid w:val="00774E10"/>
    <w:rsid w:val="00785D48"/>
    <w:rsid w:val="007A0452"/>
    <w:rsid w:val="007D2F0A"/>
    <w:rsid w:val="007E04C3"/>
    <w:rsid w:val="007E5DD8"/>
    <w:rsid w:val="007F3441"/>
    <w:rsid w:val="00802DDC"/>
    <w:rsid w:val="008049B1"/>
    <w:rsid w:val="00805F27"/>
    <w:rsid w:val="0082781D"/>
    <w:rsid w:val="00834DE7"/>
    <w:rsid w:val="00847A27"/>
    <w:rsid w:val="00864C85"/>
    <w:rsid w:val="0087738F"/>
    <w:rsid w:val="00880871"/>
    <w:rsid w:val="00883A54"/>
    <w:rsid w:val="00891AF2"/>
    <w:rsid w:val="008A0FF4"/>
    <w:rsid w:val="008A3E5D"/>
    <w:rsid w:val="008A7666"/>
    <w:rsid w:val="008A7FF8"/>
    <w:rsid w:val="008B496E"/>
    <w:rsid w:val="008C0D5F"/>
    <w:rsid w:val="008C3A12"/>
    <w:rsid w:val="008C611B"/>
    <w:rsid w:val="008C7C28"/>
    <w:rsid w:val="008D2CB6"/>
    <w:rsid w:val="008D49C2"/>
    <w:rsid w:val="008E7ECD"/>
    <w:rsid w:val="008F0275"/>
    <w:rsid w:val="008F5358"/>
    <w:rsid w:val="008F6D6B"/>
    <w:rsid w:val="0090650E"/>
    <w:rsid w:val="00922EC9"/>
    <w:rsid w:val="009364F4"/>
    <w:rsid w:val="00944CEF"/>
    <w:rsid w:val="009475C9"/>
    <w:rsid w:val="00960B7F"/>
    <w:rsid w:val="00976F4A"/>
    <w:rsid w:val="009803AC"/>
    <w:rsid w:val="0098385E"/>
    <w:rsid w:val="009878AA"/>
    <w:rsid w:val="009A4887"/>
    <w:rsid w:val="009A4B19"/>
    <w:rsid w:val="009A6BB8"/>
    <w:rsid w:val="009A7D56"/>
    <w:rsid w:val="009B2E48"/>
    <w:rsid w:val="009B6824"/>
    <w:rsid w:val="009C0DC9"/>
    <w:rsid w:val="009D31CF"/>
    <w:rsid w:val="009E5033"/>
    <w:rsid w:val="00A02CDA"/>
    <w:rsid w:val="00A24873"/>
    <w:rsid w:val="00A25ED8"/>
    <w:rsid w:val="00A334F5"/>
    <w:rsid w:val="00A415C6"/>
    <w:rsid w:val="00A71CC3"/>
    <w:rsid w:val="00A73DBF"/>
    <w:rsid w:val="00A77495"/>
    <w:rsid w:val="00A81AA1"/>
    <w:rsid w:val="00A81F90"/>
    <w:rsid w:val="00A83845"/>
    <w:rsid w:val="00A91B2D"/>
    <w:rsid w:val="00A94120"/>
    <w:rsid w:val="00AA048E"/>
    <w:rsid w:val="00AA13EF"/>
    <w:rsid w:val="00AA502B"/>
    <w:rsid w:val="00AA7EB1"/>
    <w:rsid w:val="00AB2E3B"/>
    <w:rsid w:val="00AB32DC"/>
    <w:rsid w:val="00AC00A3"/>
    <w:rsid w:val="00AC2531"/>
    <w:rsid w:val="00AC5AB2"/>
    <w:rsid w:val="00AC6462"/>
    <w:rsid w:val="00AF4D61"/>
    <w:rsid w:val="00B130D5"/>
    <w:rsid w:val="00B150E4"/>
    <w:rsid w:val="00B22E61"/>
    <w:rsid w:val="00B2694B"/>
    <w:rsid w:val="00B323A0"/>
    <w:rsid w:val="00B368D9"/>
    <w:rsid w:val="00B62DCC"/>
    <w:rsid w:val="00B63607"/>
    <w:rsid w:val="00B64019"/>
    <w:rsid w:val="00B77B9F"/>
    <w:rsid w:val="00B80CBF"/>
    <w:rsid w:val="00B82FA8"/>
    <w:rsid w:val="00BA2CDD"/>
    <w:rsid w:val="00BA310F"/>
    <w:rsid w:val="00BA71C6"/>
    <w:rsid w:val="00BB48C0"/>
    <w:rsid w:val="00BB4FF1"/>
    <w:rsid w:val="00BD2FB9"/>
    <w:rsid w:val="00BE3958"/>
    <w:rsid w:val="00C1560A"/>
    <w:rsid w:val="00C1607C"/>
    <w:rsid w:val="00C16163"/>
    <w:rsid w:val="00C20A50"/>
    <w:rsid w:val="00C23868"/>
    <w:rsid w:val="00C27182"/>
    <w:rsid w:val="00C27FBC"/>
    <w:rsid w:val="00C32933"/>
    <w:rsid w:val="00C412CA"/>
    <w:rsid w:val="00C545AE"/>
    <w:rsid w:val="00C548D8"/>
    <w:rsid w:val="00C6138E"/>
    <w:rsid w:val="00C61496"/>
    <w:rsid w:val="00C71534"/>
    <w:rsid w:val="00C71ED0"/>
    <w:rsid w:val="00C75844"/>
    <w:rsid w:val="00C75EF6"/>
    <w:rsid w:val="00C800BC"/>
    <w:rsid w:val="00C85FE7"/>
    <w:rsid w:val="00C93774"/>
    <w:rsid w:val="00CA62AD"/>
    <w:rsid w:val="00CB6744"/>
    <w:rsid w:val="00CC076D"/>
    <w:rsid w:val="00CC30DA"/>
    <w:rsid w:val="00CD52B4"/>
    <w:rsid w:val="00CD68F6"/>
    <w:rsid w:val="00CE0F2D"/>
    <w:rsid w:val="00CE28B2"/>
    <w:rsid w:val="00CE2FF6"/>
    <w:rsid w:val="00CE5B5C"/>
    <w:rsid w:val="00CF2E9A"/>
    <w:rsid w:val="00CF45BB"/>
    <w:rsid w:val="00CF4E13"/>
    <w:rsid w:val="00CF67BE"/>
    <w:rsid w:val="00CF6B0F"/>
    <w:rsid w:val="00CF7C2C"/>
    <w:rsid w:val="00D01E10"/>
    <w:rsid w:val="00D03119"/>
    <w:rsid w:val="00D0367D"/>
    <w:rsid w:val="00D24316"/>
    <w:rsid w:val="00D24640"/>
    <w:rsid w:val="00D24925"/>
    <w:rsid w:val="00D31CC5"/>
    <w:rsid w:val="00D46855"/>
    <w:rsid w:val="00D472A5"/>
    <w:rsid w:val="00D56E48"/>
    <w:rsid w:val="00D64311"/>
    <w:rsid w:val="00D6699E"/>
    <w:rsid w:val="00D75A21"/>
    <w:rsid w:val="00D7691A"/>
    <w:rsid w:val="00D80BE4"/>
    <w:rsid w:val="00D85A01"/>
    <w:rsid w:val="00D85FA6"/>
    <w:rsid w:val="00D8708C"/>
    <w:rsid w:val="00D91DEE"/>
    <w:rsid w:val="00DA110D"/>
    <w:rsid w:val="00DA3980"/>
    <w:rsid w:val="00DC3940"/>
    <w:rsid w:val="00DD292E"/>
    <w:rsid w:val="00DE4FF9"/>
    <w:rsid w:val="00DE7EA8"/>
    <w:rsid w:val="00DF12EC"/>
    <w:rsid w:val="00E20910"/>
    <w:rsid w:val="00E33627"/>
    <w:rsid w:val="00E412E2"/>
    <w:rsid w:val="00E41FDD"/>
    <w:rsid w:val="00E421BA"/>
    <w:rsid w:val="00E45D8C"/>
    <w:rsid w:val="00E622E9"/>
    <w:rsid w:val="00E63D88"/>
    <w:rsid w:val="00E71008"/>
    <w:rsid w:val="00E743F1"/>
    <w:rsid w:val="00E7477C"/>
    <w:rsid w:val="00E754C1"/>
    <w:rsid w:val="00E774D0"/>
    <w:rsid w:val="00E817BF"/>
    <w:rsid w:val="00E81AB5"/>
    <w:rsid w:val="00E84516"/>
    <w:rsid w:val="00E956F8"/>
    <w:rsid w:val="00EA04F2"/>
    <w:rsid w:val="00EC11AD"/>
    <w:rsid w:val="00EE4497"/>
    <w:rsid w:val="00EF0846"/>
    <w:rsid w:val="00F07C99"/>
    <w:rsid w:val="00F21825"/>
    <w:rsid w:val="00F22FA1"/>
    <w:rsid w:val="00F23EC2"/>
    <w:rsid w:val="00F3271F"/>
    <w:rsid w:val="00F4137E"/>
    <w:rsid w:val="00F4508E"/>
    <w:rsid w:val="00F53060"/>
    <w:rsid w:val="00F55182"/>
    <w:rsid w:val="00F5750B"/>
    <w:rsid w:val="00F814B8"/>
    <w:rsid w:val="00F84AE9"/>
    <w:rsid w:val="00F86797"/>
    <w:rsid w:val="00F9257D"/>
    <w:rsid w:val="00FB05CA"/>
    <w:rsid w:val="00FB365A"/>
    <w:rsid w:val="00FD045F"/>
    <w:rsid w:val="00FD43FF"/>
    <w:rsid w:val="00FD608E"/>
    <w:rsid w:val="00FE1721"/>
    <w:rsid w:val="00FE491C"/>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6374EF"/>
    <w:rPr>
      <w:rFonts w:ascii="Tahoma" w:hAnsi="Tahoma" w:cs="Tahoma"/>
      <w:sz w:val="16"/>
      <w:szCs w:val="16"/>
    </w:rPr>
  </w:style>
  <w:style w:type="character" w:customStyle="1" w:styleId="BalloonTextChar">
    <w:name w:val="Balloon Text Char"/>
    <w:basedOn w:val="DefaultParagraphFont"/>
    <w:link w:val="BalloonText"/>
    <w:uiPriority w:val="99"/>
    <w:semiHidden/>
    <w:rsid w:val="006374EF"/>
    <w:rPr>
      <w:rFonts w:ascii="Tahoma" w:eastAsia="Times New Roman" w:hAnsi="Tahoma" w:cs="Tahoma"/>
      <w:sz w:val="16"/>
      <w:szCs w:val="16"/>
      <w:lang w:val="en-US"/>
    </w:rPr>
  </w:style>
  <w:style w:type="paragraph" w:styleId="NormalWeb">
    <w:name w:val="Normal (Web)"/>
    <w:basedOn w:val="Normal"/>
    <w:uiPriority w:val="99"/>
    <w:semiHidden/>
    <w:unhideWhenUsed/>
    <w:rsid w:val="00534B32"/>
    <w:pPr>
      <w:spacing w:before="100" w:beforeAutospacing="1" w:after="100" w:afterAutospacing="1"/>
    </w:pPr>
    <w:rPr>
      <w:rFonts w:eastAsiaTheme="minorEastAsia"/>
      <w:sz w:val="24"/>
      <w:lang w:eastAsia="zh-CN"/>
    </w:rPr>
  </w:style>
  <w:style w:type="paragraph" w:customStyle="1" w:styleId="Proposal">
    <w:name w:val="Proposal"/>
    <w:basedOn w:val="Normal"/>
    <w:rsid w:val="006C5018"/>
    <w:p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character" w:styleId="PlaceholderText">
    <w:name w:val="Placeholder Text"/>
    <w:basedOn w:val="DefaultParagraphFont"/>
    <w:uiPriority w:val="99"/>
    <w:semiHidden/>
    <w:rsid w:val="00BB48C0"/>
    <w:rPr>
      <w:color w:val="808080"/>
    </w:rPr>
  </w:style>
  <w:style w:type="table" w:styleId="TableGrid">
    <w:name w:val="Table Grid"/>
    <w:basedOn w:val="TableNormal"/>
    <w:uiPriority w:val="59"/>
    <w:rsid w:val="00695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D018B"/>
    <w:pPr>
      <w:spacing w:after="200"/>
    </w:pPr>
    <w:rPr>
      <w:b/>
      <w:bCs/>
      <w:color w:val="4F81BD" w:themeColor="accent1"/>
      <w:sz w:val="18"/>
      <w:szCs w:val="18"/>
    </w:rPr>
  </w:style>
  <w:style w:type="character" w:styleId="CommentReference">
    <w:name w:val="annotation reference"/>
    <w:basedOn w:val="DefaultParagraphFont"/>
    <w:uiPriority w:val="99"/>
    <w:semiHidden/>
    <w:unhideWhenUsed/>
    <w:rsid w:val="00C545AE"/>
    <w:rPr>
      <w:sz w:val="16"/>
      <w:szCs w:val="16"/>
    </w:rPr>
  </w:style>
  <w:style w:type="paragraph" w:styleId="CommentText">
    <w:name w:val="annotation text"/>
    <w:basedOn w:val="Normal"/>
    <w:link w:val="CommentTextChar"/>
    <w:uiPriority w:val="99"/>
    <w:semiHidden/>
    <w:unhideWhenUsed/>
    <w:rsid w:val="00C545AE"/>
    <w:rPr>
      <w:szCs w:val="20"/>
    </w:rPr>
  </w:style>
  <w:style w:type="character" w:customStyle="1" w:styleId="CommentTextChar">
    <w:name w:val="Comment Text Char"/>
    <w:basedOn w:val="DefaultParagraphFont"/>
    <w:link w:val="CommentText"/>
    <w:uiPriority w:val="99"/>
    <w:semiHidden/>
    <w:rsid w:val="00C545AE"/>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545AE"/>
    <w:rPr>
      <w:b/>
      <w:bCs/>
    </w:rPr>
  </w:style>
  <w:style w:type="character" w:customStyle="1" w:styleId="CommentSubjectChar">
    <w:name w:val="Comment Subject Char"/>
    <w:basedOn w:val="CommentTextChar"/>
    <w:link w:val="CommentSubject"/>
    <w:uiPriority w:val="99"/>
    <w:semiHidden/>
    <w:rsid w:val="00C545AE"/>
    <w:rPr>
      <w:rFonts w:ascii="Times New Roman" w:eastAsia="Times New Roman"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6374EF"/>
    <w:rPr>
      <w:rFonts w:ascii="Tahoma" w:hAnsi="Tahoma" w:cs="Tahoma"/>
      <w:sz w:val="16"/>
      <w:szCs w:val="16"/>
    </w:rPr>
  </w:style>
  <w:style w:type="character" w:customStyle="1" w:styleId="BalloonTextChar">
    <w:name w:val="Balloon Text Char"/>
    <w:basedOn w:val="DefaultParagraphFont"/>
    <w:link w:val="BalloonText"/>
    <w:uiPriority w:val="99"/>
    <w:semiHidden/>
    <w:rsid w:val="006374EF"/>
    <w:rPr>
      <w:rFonts w:ascii="Tahoma" w:eastAsia="Times New Roman" w:hAnsi="Tahoma" w:cs="Tahoma"/>
      <w:sz w:val="16"/>
      <w:szCs w:val="16"/>
      <w:lang w:val="en-US"/>
    </w:rPr>
  </w:style>
  <w:style w:type="paragraph" w:styleId="NormalWeb">
    <w:name w:val="Normal (Web)"/>
    <w:basedOn w:val="Normal"/>
    <w:uiPriority w:val="99"/>
    <w:semiHidden/>
    <w:unhideWhenUsed/>
    <w:rsid w:val="00534B32"/>
    <w:pPr>
      <w:spacing w:before="100" w:beforeAutospacing="1" w:after="100" w:afterAutospacing="1"/>
    </w:pPr>
    <w:rPr>
      <w:rFonts w:eastAsiaTheme="minorEastAsia"/>
      <w:sz w:val="24"/>
      <w:lang w:eastAsia="zh-CN"/>
    </w:rPr>
  </w:style>
  <w:style w:type="paragraph" w:customStyle="1" w:styleId="Proposal">
    <w:name w:val="Proposal"/>
    <w:basedOn w:val="Normal"/>
    <w:rsid w:val="006C5018"/>
    <w:p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character" w:styleId="PlaceholderText">
    <w:name w:val="Placeholder Text"/>
    <w:basedOn w:val="DefaultParagraphFont"/>
    <w:uiPriority w:val="99"/>
    <w:semiHidden/>
    <w:rsid w:val="00BB48C0"/>
    <w:rPr>
      <w:color w:val="808080"/>
    </w:rPr>
  </w:style>
  <w:style w:type="table" w:styleId="TableGrid">
    <w:name w:val="Table Grid"/>
    <w:basedOn w:val="TableNormal"/>
    <w:uiPriority w:val="59"/>
    <w:rsid w:val="00695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D018B"/>
    <w:pPr>
      <w:spacing w:after="200"/>
    </w:pPr>
    <w:rPr>
      <w:b/>
      <w:bCs/>
      <w:color w:val="4F81BD" w:themeColor="accent1"/>
      <w:sz w:val="18"/>
      <w:szCs w:val="18"/>
    </w:rPr>
  </w:style>
  <w:style w:type="character" w:styleId="CommentReference">
    <w:name w:val="annotation reference"/>
    <w:basedOn w:val="DefaultParagraphFont"/>
    <w:uiPriority w:val="99"/>
    <w:semiHidden/>
    <w:unhideWhenUsed/>
    <w:rsid w:val="00C545AE"/>
    <w:rPr>
      <w:sz w:val="16"/>
      <w:szCs w:val="16"/>
    </w:rPr>
  </w:style>
  <w:style w:type="paragraph" w:styleId="CommentText">
    <w:name w:val="annotation text"/>
    <w:basedOn w:val="Normal"/>
    <w:link w:val="CommentTextChar"/>
    <w:uiPriority w:val="99"/>
    <w:semiHidden/>
    <w:unhideWhenUsed/>
    <w:rsid w:val="00C545AE"/>
    <w:rPr>
      <w:szCs w:val="20"/>
    </w:rPr>
  </w:style>
  <w:style w:type="character" w:customStyle="1" w:styleId="CommentTextChar">
    <w:name w:val="Comment Text Char"/>
    <w:basedOn w:val="DefaultParagraphFont"/>
    <w:link w:val="CommentText"/>
    <w:uiPriority w:val="99"/>
    <w:semiHidden/>
    <w:rsid w:val="00C545AE"/>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545AE"/>
    <w:rPr>
      <w:b/>
      <w:bCs/>
    </w:rPr>
  </w:style>
  <w:style w:type="character" w:customStyle="1" w:styleId="CommentSubjectChar">
    <w:name w:val="Comment Subject Char"/>
    <w:basedOn w:val="CommentTextChar"/>
    <w:link w:val="CommentSubject"/>
    <w:uiPriority w:val="99"/>
    <w:semiHidden/>
    <w:rsid w:val="00C545A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34399">
      <w:bodyDiv w:val="1"/>
      <w:marLeft w:val="0"/>
      <w:marRight w:val="0"/>
      <w:marTop w:val="0"/>
      <w:marBottom w:val="0"/>
      <w:divBdr>
        <w:top w:val="none" w:sz="0" w:space="0" w:color="auto"/>
        <w:left w:val="none" w:sz="0" w:space="0" w:color="auto"/>
        <w:bottom w:val="none" w:sz="0" w:space="0" w:color="auto"/>
        <w:right w:val="none" w:sz="0" w:space="0" w:color="auto"/>
      </w:divBdr>
    </w:div>
    <w:div w:id="172260776">
      <w:bodyDiv w:val="1"/>
      <w:marLeft w:val="0"/>
      <w:marRight w:val="0"/>
      <w:marTop w:val="0"/>
      <w:marBottom w:val="0"/>
      <w:divBdr>
        <w:top w:val="none" w:sz="0" w:space="0" w:color="auto"/>
        <w:left w:val="none" w:sz="0" w:space="0" w:color="auto"/>
        <w:bottom w:val="none" w:sz="0" w:space="0" w:color="auto"/>
        <w:right w:val="none" w:sz="0" w:space="0" w:color="auto"/>
      </w:divBdr>
    </w:div>
    <w:div w:id="220791739">
      <w:bodyDiv w:val="1"/>
      <w:marLeft w:val="0"/>
      <w:marRight w:val="0"/>
      <w:marTop w:val="0"/>
      <w:marBottom w:val="0"/>
      <w:divBdr>
        <w:top w:val="none" w:sz="0" w:space="0" w:color="auto"/>
        <w:left w:val="none" w:sz="0" w:space="0" w:color="auto"/>
        <w:bottom w:val="none" w:sz="0" w:space="0" w:color="auto"/>
        <w:right w:val="none" w:sz="0" w:space="0" w:color="auto"/>
      </w:divBdr>
    </w:div>
    <w:div w:id="394279379">
      <w:bodyDiv w:val="1"/>
      <w:marLeft w:val="0"/>
      <w:marRight w:val="0"/>
      <w:marTop w:val="0"/>
      <w:marBottom w:val="0"/>
      <w:divBdr>
        <w:top w:val="none" w:sz="0" w:space="0" w:color="auto"/>
        <w:left w:val="none" w:sz="0" w:space="0" w:color="auto"/>
        <w:bottom w:val="none" w:sz="0" w:space="0" w:color="auto"/>
        <w:right w:val="none" w:sz="0" w:space="0" w:color="auto"/>
      </w:divBdr>
    </w:div>
    <w:div w:id="452403791">
      <w:bodyDiv w:val="1"/>
      <w:marLeft w:val="0"/>
      <w:marRight w:val="0"/>
      <w:marTop w:val="0"/>
      <w:marBottom w:val="0"/>
      <w:divBdr>
        <w:top w:val="none" w:sz="0" w:space="0" w:color="auto"/>
        <w:left w:val="none" w:sz="0" w:space="0" w:color="auto"/>
        <w:bottom w:val="none" w:sz="0" w:space="0" w:color="auto"/>
        <w:right w:val="none" w:sz="0" w:space="0" w:color="auto"/>
      </w:divBdr>
    </w:div>
    <w:div w:id="955480019">
      <w:bodyDiv w:val="1"/>
      <w:marLeft w:val="0"/>
      <w:marRight w:val="0"/>
      <w:marTop w:val="0"/>
      <w:marBottom w:val="0"/>
      <w:divBdr>
        <w:top w:val="none" w:sz="0" w:space="0" w:color="auto"/>
        <w:left w:val="none" w:sz="0" w:space="0" w:color="auto"/>
        <w:bottom w:val="none" w:sz="0" w:space="0" w:color="auto"/>
        <w:right w:val="none" w:sz="0" w:space="0" w:color="auto"/>
      </w:divBdr>
    </w:div>
    <w:div w:id="1057894260">
      <w:bodyDiv w:val="1"/>
      <w:marLeft w:val="0"/>
      <w:marRight w:val="0"/>
      <w:marTop w:val="0"/>
      <w:marBottom w:val="0"/>
      <w:divBdr>
        <w:top w:val="none" w:sz="0" w:space="0" w:color="auto"/>
        <w:left w:val="none" w:sz="0" w:space="0" w:color="auto"/>
        <w:bottom w:val="none" w:sz="0" w:space="0" w:color="auto"/>
        <w:right w:val="none" w:sz="0" w:space="0" w:color="auto"/>
      </w:divBdr>
    </w:div>
    <w:div w:id="1307974638">
      <w:bodyDiv w:val="1"/>
      <w:marLeft w:val="0"/>
      <w:marRight w:val="0"/>
      <w:marTop w:val="0"/>
      <w:marBottom w:val="0"/>
      <w:divBdr>
        <w:top w:val="none" w:sz="0" w:space="0" w:color="auto"/>
        <w:left w:val="none" w:sz="0" w:space="0" w:color="auto"/>
        <w:bottom w:val="none" w:sz="0" w:space="0" w:color="auto"/>
        <w:right w:val="none" w:sz="0" w:space="0" w:color="auto"/>
      </w:divBdr>
    </w:div>
    <w:div w:id="1756246909">
      <w:bodyDiv w:val="1"/>
      <w:marLeft w:val="0"/>
      <w:marRight w:val="0"/>
      <w:marTop w:val="0"/>
      <w:marBottom w:val="0"/>
      <w:divBdr>
        <w:top w:val="none" w:sz="0" w:space="0" w:color="auto"/>
        <w:left w:val="none" w:sz="0" w:space="0" w:color="auto"/>
        <w:bottom w:val="none" w:sz="0" w:space="0" w:color="auto"/>
        <w:right w:val="none" w:sz="0" w:space="0" w:color="auto"/>
      </w:divBdr>
      <w:divsChild>
        <w:div w:id="1272785369">
          <w:marLeft w:val="1411"/>
          <w:marRight w:val="0"/>
          <w:marTop w:val="96"/>
          <w:marBottom w:val="0"/>
          <w:divBdr>
            <w:top w:val="none" w:sz="0" w:space="0" w:color="auto"/>
            <w:left w:val="none" w:sz="0" w:space="0" w:color="auto"/>
            <w:bottom w:val="none" w:sz="0" w:space="0" w:color="auto"/>
            <w:right w:val="none" w:sz="0" w:space="0" w:color="auto"/>
          </w:divBdr>
        </w:div>
        <w:div w:id="1563758712">
          <w:marLeft w:val="1411"/>
          <w:marRight w:val="0"/>
          <w:marTop w:val="96"/>
          <w:marBottom w:val="0"/>
          <w:divBdr>
            <w:top w:val="none" w:sz="0" w:space="0" w:color="auto"/>
            <w:left w:val="none" w:sz="0" w:space="0" w:color="auto"/>
            <w:bottom w:val="none" w:sz="0" w:space="0" w:color="auto"/>
            <w:right w:val="none" w:sz="0" w:space="0" w:color="auto"/>
          </w:divBdr>
        </w:div>
      </w:divsChild>
    </w:div>
    <w:div w:id="1836409254">
      <w:bodyDiv w:val="1"/>
      <w:marLeft w:val="0"/>
      <w:marRight w:val="0"/>
      <w:marTop w:val="0"/>
      <w:marBottom w:val="0"/>
      <w:divBdr>
        <w:top w:val="none" w:sz="0" w:space="0" w:color="auto"/>
        <w:left w:val="none" w:sz="0" w:space="0" w:color="auto"/>
        <w:bottom w:val="none" w:sz="0" w:space="0" w:color="auto"/>
        <w:right w:val="none" w:sz="0" w:space="0" w:color="auto"/>
      </w:divBdr>
    </w:div>
    <w:div w:id="1921134831">
      <w:bodyDiv w:val="1"/>
      <w:marLeft w:val="0"/>
      <w:marRight w:val="0"/>
      <w:marTop w:val="0"/>
      <w:marBottom w:val="0"/>
      <w:divBdr>
        <w:top w:val="none" w:sz="0" w:space="0" w:color="auto"/>
        <w:left w:val="none" w:sz="0" w:space="0" w:color="auto"/>
        <w:bottom w:val="none" w:sz="0" w:space="0" w:color="auto"/>
        <w:right w:val="none" w:sz="0" w:space="0" w:color="auto"/>
      </w:divBdr>
      <w:divsChild>
        <w:div w:id="83934644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4575E-8CB0-463F-BE33-250A20CB5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7</Pages>
  <Words>1677</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yufei.blankenship@ericsson.com</dc:creator>
  <cp:lastModifiedBy>Yufei Blankenship</cp:lastModifiedBy>
  <cp:revision>32</cp:revision>
  <cp:lastPrinted>2016-05-09T17:24:00Z</cp:lastPrinted>
  <dcterms:created xsi:type="dcterms:W3CDTF">2016-05-14T00:04:00Z</dcterms:created>
  <dcterms:modified xsi:type="dcterms:W3CDTF">2016-05-14T05:30:00Z</dcterms:modified>
</cp:coreProperties>
</file>